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FB" w:rsidRDefault="00C817FB"/>
    <w:p w:rsidR="00343367" w:rsidRDefault="00343367"/>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The pupil premium is allocated to schools for;</w:t>
      </w:r>
    </w:p>
    <w:p w:rsidR="00343367" w:rsidRP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of statutory school age from low income families who are known to be eligible for free school meals (FSM)</w:t>
      </w:r>
    </w:p>
    <w:p w:rsidR="00343367" w:rsidRP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who have been looked after continuously for more than six months</w:t>
      </w:r>
    </w:p>
    <w:p w:rsid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whose parents are currently working in the armed forces</w:t>
      </w:r>
    </w:p>
    <w:p w:rsidR="00343367" w:rsidRPr="00343367" w:rsidRDefault="00343367" w:rsidP="00343367">
      <w:pPr>
        <w:spacing w:after="200" w:line="276" w:lineRule="auto"/>
        <w:ind w:left="720"/>
        <w:contextualSpacing/>
        <w:rPr>
          <w:rFonts w:ascii="Cambria" w:eastAsia="Cambria" w:hAnsi="Cambria" w:cs="Times New Roman"/>
          <w:b/>
        </w:rPr>
      </w:pPr>
    </w:p>
    <w:p w:rsidR="00343367" w:rsidRPr="00343367" w:rsidRDefault="00343367" w:rsidP="00343367">
      <w:pPr>
        <w:spacing w:after="200" w:line="276" w:lineRule="auto"/>
        <w:rPr>
          <w:rFonts w:ascii="Cambria" w:eastAsia="Cambria" w:hAnsi="Cambria" w:cs="Times New Roman"/>
          <w:b/>
        </w:rPr>
      </w:pPr>
      <w:r>
        <w:rPr>
          <w:rFonts w:ascii="Cambria" w:eastAsia="Cambria" w:hAnsi="Cambria" w:cs="Times New Roman"/>
          <w:b/>
        </w:rPr>
        <w:t>T</w:t>
      </w:r>
      <w:r w:rsidRPr="00343367">
        <w:rPr>
          <w:rFonts w:ascii="Cambria" w:eastAsia="Cambria" w:hAnsi="Cambria" w:cs="Times New Roman"/>
          <w:b/>
        </w:rPr>
        <w:t>he lev</w:t>
      </w:r>
      <w:r>
        <w:rPr>
          <w:rFonts w:ascii="Cambria" w:eastAsia="Cambria" w:hAnsi="Cambria" w:cs="Times New Roman"/>
          <w:b/>
        </w:rPr>
        <w:t>el of pupil premium is</w:t>
      </w:r>
      <w:r w:rsidR="001B2D29">
        <w:rPr>
          <w:rFonts w:ascii="Cambria" w:eastAsia="Cambria" w:hAnsi="Cambria" w:cs="Times New Roman"/>
          <w:b/>
        </w:rPr>
        <w:t xml:space="preserve"> £1320</w:t>
      </w:r>
      <w:r w:rsidRPr="00343367">
        <w:rPr>
          <w:rFonts w:ascii="Cambria" w:eastAsia="Cambria" w:hAnsi="Cambria" w:cs="Times New Roman"/>
          <w:b/>
        </w:rPr>
        <w:t xml:space="preserve"> per pupil.</w:t>
      </w:r>
    </w:p>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The DFE offer the following guidance;</w:t>
      </w:r>
    </w:p>
    <w:p w:rsidR="00343367" w:rsidRPr="00343367" w:rsidRDefault="00343367" w:rsidP="00343367">
      <w:pPr>
        <w:spacing w:after="200" w:line="276" w:lineRule="auto"/>
        <w:rPr>
          <w:rFonts w:ascii="Cambria" w:eastAsia="Cambria" w:hAnsi="Cambria" w:cs="Times New Roman"/>
          <w:i/>
        </w:rPr>
      </w:pPr>
      <w:r w:rsidRPr="00343367">
        <w:rPr>
          <w:rFonts w:ascii="Cambria" w:eastAsia="Cambria" w:hAnsi="Cambria" w:cs="Times New Roman"/>
          <w:i/>
        </w:rPr>
        <w:t>In most cases the Pupil Premium is allocated to schools and is clearly identifiable.  It is for schools to decide how the Pupil Premium , allocated to schools per FSM pupil, is spent, since they are best placed to assess what additional provision should be made for the individual pupils within their responsibility.</w:t>
      </w:r>
    </w:p>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However they also state that;</w:t>
      </w:r>
    </w:p>
    <w:p w:rsidR="00343367" w:rsidRPr="00343367" w:rsidRDefault="00343367" w:rsidP="00343367">
      <w:pPr>
        <w:spacing w:after="200" w:line="276" w:lineRule="auto"/>
        <w:rPr>
          <w:rFonts w:ascii="Cambria" w:eastAsia="Cambria" w:hAnsi="Cambria" w:cs="Times New Roman"/>
          <w:i/>
        </w:rPr>
      </w:pPr>
      <w:r w:rsidRPr="00343367">
        <w:rPr>
          <w:rFonts w:ascii="Cambria" w:eastAsia="Cambria" w:hAnsi="Cambria" w:cs="Times New Roman"/>
          <w:i/>
        </w:rPr>
        <w:t>Schools are free to spend Pupil Premium as they see fit.  However they will be held accountable for how they have used additional funding to support pupils from low income families.</w:t>
      </w:r>
    </w:p>
    <w:p w:rsid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 xml:space="preserve">The purpose of this </w:t>
      </w:r>
      <w:r>
        <w:rPr>
          <w:rFonts w:ascii="Cambria" w:eastAsia="Cambria" w:hAnsi="Cambria" w:cs="Times New Roman"/>
          <w:b/>
        </w:rPr>
        <w:t xml:space="preserve">statement </w:t>
      </w:r>
      <w:r w:rsidRPr="00343367">
        <w:rPr>
          <w:rFonts w:ascii="Cambria" w:eastAsia="Cambria" w:hAnsi="Cambria" w:cs="Times New Roman"/>
          <w:b/>
        </w:rPr>
        <w:t>is to effectively plan the way the pupil premium mon</w:t>
      </w:r>
      <w:r>
        <w:rPr>
          <w:rFonts w:ascii="Cambria" w:eastAsia="Cambria" w:hAnsi="Cambria" w:cs="Times New Roman"/>
          <w:b/>
        </w:rPr>
        <w:t>ey will be spent over the</w:t>
      </w:r>
      <w:r w:rsidRPr="00343367">
        <w:rPr>
          <w:rFonts w:ascii="Cambria" w:eastAsia="Cambria" w:hAnsi="Cambria" w:cs="Times New Roman"/>
          <w:b/>
        </w:rPr>
        <w:t xml:space="preserve"> year and enable us to inform parents, carers and governors of the im</w:t>
      </w:r>
      <w:r>
        <w:rPr>
          <w:rFonts w:ascii="Cambria" w:eastAsia="Cambria" w:hAnsi="Cambria" w:cs="Times New Roman"/>
          <w:b/>
        </w:rPr>
        <w:t>pact it has on outcomes for pupils</w:t>
      </w:r>
      <w:r w:rsidRPr="00343367">
        <w:rPr>
          <w:rFonts w:ascii="Cambria" w:eastAsia="Cambria" w:hAnsi="Cambria" w:cs="Times New Roman"/>
          <w:b/>
        </w:rPr>
        <w:t>.</w:t>
      </w:r>
    </w:p>
    <w:p w:rsidR="00343367" w:rsidRDefault="00343367" w:rsidP="00343367">
      <w:pPr>
        <w:spacing w:after="200" w:line="276" w:lineRule="auto"/>
        <w:rPr>
          <w:rFonts w:ascii="Cambria" w:eastAsia="Cambria" w:hAnsi="Cambria" w:cs="Times New Roman"/>
          <w:b/>
        </w:rPr>
      </w:pPr>
    </w:p>
    <w:p w:rsidR="00343367" w:rsidRDefault="00343367" w:rsidP="00343367">
      <w:pPr>
        <w:spacing w:after="200" w:line="276" w:lineRule="auto"/>
        <w:rPr>
          <w:rFonts w:ascii="Cambria" w:eastAsia="Cambria" w:hAnsi="Cambria" w:cs="Times New Roman"/>
          <w:b/>
        </w:rPr>
      </w:pPr>
    </w:p>
    <w:p w:rsidR="00343367" w:rsidRDefault="00343367" w:rsidP="00343367">
      <w:pPr>
        <w:spacing w:after="200" w:line="276" w:lineRule="auto"/>
        <w:rPr>
          <w:rFonts w:ascii="Cambria" w:eastAsia="Cambria" w:hAnsi="Cambria" w:cs="Times New Roman"/>
          <w:b/>
        </w:rPr>
      </w:pPr>
    </w:p>
    <w:p w:rsidR="00343367" w:rsidRPr="00343367" w:rsidRDefault="00343367" w:rsidP="00343367">
      <w:pPr>
        <w:spacing w:after="200" w:line="276" w:lineRule="auto"/>
        <w:rPr>
          <w:rFonts w:ascii="Cambria" w:eastAsia="Cambria" w:hAnsi="Cambria" w:cs="Times New Roman"/>
          <w:b/>
        </w:rPr>
      </w:pPr>
    </w:p>
    <w:p w:rsidR="00343367" w:rsidRDefault="00343367"/>
    <w:tbl>
      <w:tblPr>
        <w:tblStyle w:val="TableGrid1"/>
        <w:tblW w:w="14459" w:type="dxa"/>
        <w:tblInd w:w="-572" w:type="dxa"/>
        <w:tblLook w:val="04A0" w:firstRow="1" w:lastRow="0" w:firstColumn="1" w:lastColumn="0" w:noHBand="0" w:noVBand="1"/>
      </w:tblPr>
      <w:tblGrid>
        <w:gridCol w:w="3614"/>
        <w:gridCol w:w="3615"/>
        <w:gridCol w:w="3615"/>
        <w:gridCol w:w="3615"/>
      </w:tblGrid>
      <w:tr w:rsidR="00473E95" w:rsidRPr="00473E95" w:rsidTr="00B310C0">
        <w:trPr>
          <w:trHeight w:hRule="exact" w:val="445"/>
        </w:trPr>
        <w:tc>
          <w:tcPr>
            <w:tcW w:w="3614" w:type="dxa"/>
            <w:tcMar>
              <w:top w:w="57" w:type="dxa"/>
              <w:bottom w:w="57" w:type="dxa"/>
            </w:tcMar>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Academic Year</w:t>
            </w:r>
          </w:p>
        </w:tc>
        <w:tc>
          <w:tcPr>
            <w:tcW w:w="3615" w:type="dxa"/>
            <w:tcMar>
              <w:top w:w="57" w:type="dxa"/>
              <w:bottom w:w="57" w:type="dxa"/>
            </w:tcMar>
          </w:tcPr>
          <w:p w:rsidR="00473E95" w:rsidRPr="00473E95" w:rsidRDefault="00170450"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2017/18</w:t>
            </w:r>
          </w:p>
        </w:tc>
        <w:tc>
          <w:tcPr>
            <w:tcW w:w="3615" w:type="dxa"/>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Total PP budget</w:t>
            </w:r>
          </w:p>
        </w:tc>
        <w:tc>
          <w:tcPr>
            <w:tcW w:w="3615" w:type="dxa"/>
          </w:tcPr>
          <w:p w:rsidR="00473E95" w:rsidRPr="00473E95" w:rsidRDefault="00170450" w:rsidP="00170450">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£77, 720</w:t>
            </w:r>
          </w:p>
        </w:tc>
      </w:tr>
      <w:tr w:rsidR="00473E95" w:rsidRPr="00473E95" w:rsidTr="00B310C0">
        <w:trPr>
          <w:trHeight w:hRule="exact" w:val="639"/>
        </w:trPr>
        <w:tc>
          <w:tcPr>
            <w:tcW w:w="3614" w:type="dxa"/>
            <w:tcMar>
              <w:top w:w="57" w:type="dxa"/>
              <w:bottom w:w="57" w:type="dxa"/>
            </w:tcMar>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Total number of pupils</w:t>
            </w:r>
          </w:p>
        </w:tc>
        <w:tc>
          <w:tcPr>
            <w:tcW w:w="3615" w:type="dxa"/>
            <w:tcMar>
              <w:top w:w="57" w:type="dxa"/>
              <w:bottom w:w="57" w:type="dxa"/>
            </w:tcMar>
          </w:tcPr>
          <w:p w:rsidR="00473E95" w:rsidRPr="00473E95" w:rsidRDefault="00B167EB"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213</w:t>
            </w:r>
          </w:p>
        </w:tc>
        <w:tc>
          <w:tcPr>
            <w:tcW w:w="3615" w:type="dxa"/>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Number of pupils eligible for PP</w:t>
            </w:r>
          </w:p>
        </w:tc>
        <w:tc>
          <w:tcPr>
            <w:tcW w:w="3615" w:type="dxa"/>
          </w:tcPr>
          <w:p w:rsidR="00473E95" w:rsidRPr="00473E95" w:rsidRDefault="00FD5695"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58</w:t>
            </w:r>
            <w:r w:rsidR="006A0E6E">
              <w:rPr>
                <w:rFonts w:asciiTheme="minorHAnsi" w:hAnsiTheme="minorHAnsi" w:cs="Arial"/>
                <w:color w:val="0D0D0D"/>
                <w:sz w:val="24"/>
                <w:szCs w:val="24"/>
              </w:rPr>
              <w:t xml:space="preserve"> (27%)</w:t>
            </w:r>
          </w:p>
        </w:tc>
      </w:tr>
      <w:tr w:rsidR="00B310C0" w:rsidRPr="00473E95" w:rsidTr="00B310C0">
        <w:trPr>
          <w:trHeight w:hRule="exact" w:val="639"/>
        </w:trPr>
        <w:tc>
          <w:tcPr>
            <w:tcW w:w="3614" w:type="dxa"/>
            <w:tcMar>
              <w:top w:w="57" w:type="dxa"/>
              <w:bottom w:w="57" w:type="dxa"/>
            </w:tcMar>
          </w:tcPr>
          <w:p w:rsidR="00B310C0" w:rsidRPr="00473E95" w:rsidRDefault="00B310C0" w:rsidP="00473E95">
            <w:pPr>
              <w:spacing w:after="240" w:line="288" w:lineRule="auto"/>
              <w:rPr>
                <w:rFonts w:cs="Arial"/>
                <w:color w:val="0D0D0D"/>
                <w:sz w:val="24"/>
                <w:szCs w:val="24"/>
              </w:rPr>
            </w:pPr>
            <w:r>
              <w:rPr>
                <w:rFonts w:cs="Arial"/>
                <w:color w:val="0D0D0D"/>
                <w:sz w:val="24"/>
                <w:szCs w:val="24"/>
              </w:rPr>
              <w:t xml:space="preserve">Lead member of staff </w:t>
            </w:r>
          </w:p>
        </w:tc>
        <w:tc>
          <w:tcPr>
            <w:tcW w:w="3615" w:type="dxa"/>
            <w:tcMar>
              <w:top w:w="57" w:type="dxa"/>
              <w:bottom w:w="57" w:type="dxa"/>
            </w:tcMar>
          </w:tcPr>
          <w:p w:rsidR="00B310C0" w:rsidRPr="00473E95" w:rsidRDefault="008B27A2" w:rsidP="00473E95">
            <w:pPr>
              <w:spacing w:after="240" w:line="288" w:lineRule="auto"/>
              <w:rPr>
                <w:rFonts w:cs="Arial"/>
                <w:color w:val="0D0D0D"/>
                <w:sz w:val="24"/>
                <w:szCs w:val="24"/>
              </w:rPr>
            </w:pPr>
            <w:r>
              <w:rPr>
                <w:rFonts w:cs="Arial"/>
                <w:color w:val="0D0D0D"/>
                <w:sz w:val="24"/>
                <w:szCs w:val="24"/>
              </w:rPr>
              <w:t>Stuart Mills</w:t>
            </w:r>
          </w:p>
        </w:tc>
        <w:tc>
          <w:tcPr>
            <w:tcW w:w="3615" w:type="dxa"/>
          </w:tcPr>
          <w:p w:rsidR="00B310C0" w:rsidRPr="00473E95" w:rsidRDefault="00B310C0" w:rsidP="00473E95">
            <w:pPr>
              <w:spacing w:after="240" w:line="288" w:lineRule="auto"/>
              <w:rPr>
                <w:rFonts w:cs="Arial"/>
                <w:color w:val="0D0D0D"/>
                <w:sz w:val="24"/>
                <w:szCs w:val="24"/>
              </w:rPr>
            </w:pPr>
            <w:r>
              <w:rPr>
                <w:rFonts w:cs="Arial"/>
                <w:color w:val="0D0D0D"/>
                <w:sz w:val="24"/>
                <w:szCs w:val="24"/>
              </w:rPr>
              <w:t>Lead governor</w:t>
            </w:r>
          </w:p>
        </w:tc>
        <w:tc>
          <w:tcPr>
            <w:tcW w:w="3615" w:type="dxa"/>
          </w:tcPr>
          <w:p w:rsidR="00B310C0" w:rsidRPr="00473E95" w:rsidRDefault="00170450" w:rsidP="00473E95">
            <w:pPr>
              <w:spacing w:after="240" w:line="288" w:lineRule="auto"/>
              <w:rPr>
                <w:rFonts w:cs="Arial"/>
                <w:color w:val="0D0D0D"/>
                <w:sz w:val="24"/>
                <w:szCs w:val="24"/>
              </w:rPr>
            </w:pPr>
            <w:r>
              <w:rPr>
                <w:rFonts w:cs="Arial"/>
                <w:color w:val="0D0D0D"/>
                <w:sz w:val="24"/>
                <w:szCs w:val="24"/>
              </w:rPr>
              <w:t>Sue Liddle</w:t>
            </w:r>
          </w:p>
        </w:tc>
      </w:tr>
    </w:tbl>
    <w:p w:rsidR="00473E95" w:rsidRDefault="00473E95"/>
    <w:tbl>
      <w:tblPr>
        <w:tblStyle w:val="TableGrid2"/>
        <w:tblW w:w="14601" w:type="dxa"/>
        <w:tblInd w:w="-572" w:type="dxa"/>
        <w:tblLook w:val="04A0" w:firstRow="1" w:lastRow="0" w:firstColumn="1" w:lastColumn="0" w:noHBand="0" w:noVBand="1"/>
      </w:tblPr>
      <w:tblGrid>
        <w:gridCol w:w="6096"/>
        <w:gridCol w:w="2817"/>
        <w:gridCol w:w="3164"/>
        <w:gridCol w:w="2524"/>
      </w:tblGrid>
      <w:tr w:rsidR="00A16588" w:rsidRPr="00A16588" w:rsidTr="00FF41EA">
        <w:trPr>
          <w:gridAfter w:val="3"/>
          <w:wAfter w:w="8505" w:type="dxa"/>
          <w:trHeight w:hRule="exact" w:val="338"/>
        </w:trPr>
        <w:tc>
          <w:tcPr>
            <w:tcW w:w="6096" w:type="dxa"/>
            <w:shd w:val="clear" w:color="auto" w:fill="CFDCE3"/>
            <w:tcMar>
              <w:top w:w="57" w:type="dxa"/>
              <w:bottom w:w="57" w:type="dxa"/>
            </w:tcMar>
          </w:tcPr>
          <w:p w:rsidR="00A16588" w:rsidRPr="00A16588" w:rsidRDefault="00BA4EE1" w:rsidP="00A16588">
            <w:pPr>
              <w:numPr>
                <w:ilvl w:val="0"/>
                <w:numId w:val="1"/>
              </w:numPr>
              <w:ind w:left="426" w:hanging="284"/>
              <w:rPr>
                <w:rFonts w:asciiTheme="minorHAnsi" w:hAnsiTheme="minorHAnsi" w:cs="Arial"/>
                <w:b/>
                <w:color w:val="0D0D0D"/>
                <w:sz w:val="24"/>
                <w:szCs w:val="24"/>
              </w:rPr>
            </w:pPr>
            <w:r>
              <w:rPr>
                <w:rFonts w:asciiTheme="minorHAnsi" w:eastAsia="Arial" w:hAnsiTheme="minorHAnsi" w:cs="Arial"/>
                <w:b/>
                <w:color w:val="0D0D0D"/>
                <w:sz w:val="24"/>
                <w:szCs w:val="24"/>
              </w:rPr>
              <w:t>2017</w:t>
            </w:r>
            <w:r w:rsidR="00FF41EA">
              <w:rPr>
                <w:rFonts w:asciiTheme="minorHAnsi" w:eastAsia="Arial" w:hAnsiTheme="minorHAnsi" w:cs="Arial"/>
                <w:b/>
                <w:color w:val="0D0D0D"/>
                <w:sz w:val="24"/>
                <w:szCs w:val="24"/>
              </w:rPr>
              <w:t xml:space="preserve"> Outcomes</w:t>
            </w:r>
            <w:r w:rsidR="00A16588" w:rsidRPr="00A16588">
              <w:rPr>
                <w:rFonts w:asciiTheme="minorHAnsi" w:eastAsia="Arial" w:hAnsiTheme="minorHAnsi" w:cs="Arial"/>
                <w:b/>
                <w:color w:val="0D0D0D"/>
                <w:sz w:val="24"/>
                <w:szCs w:val="24"/>
              </w:rPr>
              <w:t xml:space="preserve"> attainment (end of last academic</w:t>
            </w:r>
            <w:r w:rsidR="00C86D91">
              <w:rPr>
                <w:rFonts w:asciiTheme="minorHAnsi" w:eastAsia="Arial" w:hAnsiTheme="minorHAnsi" w:cs="Arial"/>
                <w:b/>
                <w:color w:val="0D0D0D"/>
                <w:sz w:val="24"/>
                <w:szCs w:val="24"/>
              </w:rPr>
              <w:t>)</w:t>
            </w:r>
            <w:r w:rsidR="00A16588" w:rsidRPr="00A16588">
              <w:rPr>
                <w:rFonts w:asciiTheme="minorHAnsi" w:eastAsia="Arial" w:hAnsiTheme="minorHAnsi" w:cs="Arial"/>
                <w:b/>
                <w:color w:val="0D0D0D"/>
                <w:sz w:val="24"/>
                <w:szCs w:val="24"/>
              </w:rPr>
              <w:t xml:space="preserve"> year)</w:t>
            </w:r>
          </w:p>
        </w:tc>
      </w:tr>
      <w:tr w:rsidR="00A16588" w:rsidRPr="00A16588" w:rsidTr="00C86D91">
        <w:trPr>
          <w:trHeight w:hRule="exact" w:val="1096"/>
        </w:trPr>
        <w:tc>
          <w:tcPr>
            <w:tcW w:w="8913" w:type="dxa"/>
            <w:gridSpan w:val="2"/>
            <w:tcMar>
              <w:top w:w="57" w:type="dxa"/>
              <w:bottom w:w="57" w:type="dxa"/>
            </w:tcMar>
          </w:tcPr>
          <w:p w:rsidR="00A16588" w:rsidRPr="00A16588" w:rsidRDefault="00A16588" w:rsidP="00A16588">
            <w:pPr>
              <w:spacing w:after="240" w:line="288" w:lineRule="auto"/>
              <w:ind w:left="720"/>
              <w:contextualSpacing/>
              <w:rPr>
                <w:rFonts w:asciiTheme="minorHAnsi" w:hAnsiTheme="minorHAnsi" w:cs="Arial"/>
                <w:color w:val="0D0D0D"/>
                <w:sz w:val="24"/>
                <w:szCs w:val="24"/>
              </w:rPr>
            </w:pPr>
          </w:p>
        </w:tc>
        <w:tc>
          <w:tcPr>
            <w:tcW w:w="3164" w:type="dxa"/>
            <w:shd w:val="clear" w:color="auto" w:fill="FFFFFF"/>
            <w:tcMar>
              <w:top w:w="57" w:type="dxa"/>
              <w:bottom w:w="57" w:type="dxa"/>
            </w:tcMar>
          </w:tcPr>
          <w:p w:rsidR="00C86D91" w:rsidRDefault="00A16588" w:rsidP="00C86D91">
            <w:pPr>
              <w:spacing w:line="288" w:lineRule="auto"/>
              <w:jc w:val="center"/>
              <w:rPr>
                <w:rFonts w:asciiTheme="minorHAnsi" w:hAnsiTheme="minorHAnsi" w:cs="Arial"/>
                <w:i/>
                <w:color w:val="0D0D0D"/>
                <w:sz w:val="24"/>
                <w:szCs w:val="24"/>
              </w:rPr>
            </w:pPr>
            <w:r w:rsidRPr="00A16588">
              <w:rPr>
                <w:rFonts w:asciiTheme="minorHAnsi" w:hAnsiTheme="minorHAnsi" w:cs="Arial"/>
                <w:i/>
                <w:color w:val="0D0D0D"/>
                <w:sz w:val="24"/>
                <w:szCs w:val="24"/>
              </w:rPr>
              <w:t xml:space="preserve">Pupils eligible for PP </w:t>
            </w:r>
          </w:p>
          <w:p w:rsidR="00C86D91" w:rsidRPr="00A16588" w:rsidRDefault="00C86D91" w:rsidP="00C86D91">
            <w:pPr>
              <w:spacing w:line="288" w:lineRule="auto"/>
              <w:jc w:val="center"/>
              <w:rPr>
                <w:rFonts w:asciiTheme="minorHAnsi" w:hAnsiTheme="minorHAnsi" w:cs="Arial"/>
                <w:i/>
                <w:color w:val="0D0D0D"/>
                <w:sz w:val="24"/>
                <w:szCs w:val="24"/>
              </w:rPr>
            </w:pPr>
            <w:r>
              <w:rPr>
                <w:rFonts w:asciiTheme="minorHAnsi" w:hAnsiTheme="minorHAnsi" w:cs="Arial"/>
                <w:i/>
                <w:color w:val="0D0D0D"/>
                <w:sz w:val="24"/>
                <w:szCs w:val="24"/>
              </w:rPr>
              <w:t>(percentage of PP achieving standard)</w:t>
            </w:r>
          </w:p>
        </w:tc>
        <w:tc>
          <w:tcPr>
            <w:tcW w:w="2524" w:type="dxa"/>
            <w:shd w:val="clear" w:color="auto" w:fill="FFFFFF"/>
            <w:tcMar>
              <w:top w:w="57" w:type="dxa"/>
              <w:bottom w:w="57" w:type="dxa"/>
            </w:tcMar>
          </w:tcPr>
          <w:p w:rsidR="00A16588" w:rsidRPr="00A16588" w:rsidRDefault="00A16588" w:rsidP="00A16588">
            <w:pPr>
              <w:spacing w:after="240" w:line="288" w:lineRule="auto"/>
              <w:jc w:val="center"/>
              <w:rPr>
                <w:rFonts w:asciiTheme="minorHAnsi" w:hAnsiTheme="minorHAnsi" w:cs="Arial"/>
                <w:i/>
                <w:color w:val="0D0D0D"/>
                <w:sz w:val="24"/>
                <w:szCs w:val="24"/>
              </w:rPr>
            </w:pPr>
            <w:r w:rsidRPr="00A16588">
              <w:rPr>
                <w:rFonts w:asciiTheme="minorHAnsi" w:hAnsiTheme="minorHAnsi" w:cs="Arial"/>
                <w:i/>
                <w:color w:val="0D0D0D"/>
                <w:sz w:val="24"/>
                <w:szCs w:val="24"/>
              </w:rPr>
              <w:t xml:space="preserve">Pupils not eligible for PP (national average) </w:t>
            </w:r>
          </w:p>
        </w:tc>
      </w:tr>
      <w:tr w:rsidR="00A16588" w:rsidRPr="00A16588" w:rsidTr="00FF41EA">
        <w:trPr>
          <w:trHeight w:hRule="exact" w:val="513"/>
        </w:trPr>
        <w:tc>
          <w:tcPr>
            <w:tcW w:w="8913" w:type="dxa"/>
            <w:gridSpan w:val="2"/>
            <w:tcMar>
              <w:top w:w="57" w:type="dxa"/>
              <w:bottom w:w="57" w:type="dxa"/>
            </w:tcMar>
            <w:vAlign w:val="bottom"/>
          </w:tcPr>
          <w:p w:rsidR="00A16588" w:rsidRPr="00A16588" w:rsidRDefault="00A16588" w:rsidP="00A1658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t xml:space="preserve">Year 6 -                   </w:t>
            </w:r>
            <w:r w:rsidR="009742AB">
              <w:rPr>
                <w:rFonts w:asciiTheme="minorHAnsi" w:eastAsia="Arial" w:hAnsiTheme="minorHAnsi" w:cs="Arial"/>
                <w:b/>
                <w:bCs/>
                <w:color w:val="050505"/>
                <w:sz w:val="24"/>
                <w:szCs w:val="24"/>
              </w:rPr>
              <w:t xml:space="preserve"> </w:t>
            </w:r>
            <w:r>
              <w:rPr>
                <w:rFonts w:asciiTheme="minorHAnsi" w:eastAsia="Arial" w:hAnsiTheme="minorHAnsi" w:cs="Arial"/>
                <w:b/>
                <w:bCs/>
                <w:color w:val="050505"/>
                <w:sz w:val="24"/>
                <w:szCs w:val="24"/>
              </w:rPr>
              <w:t xml:space="preserve"> </w:t>
            </w:r>
            <w:r w:rsidR="00BA148D">
              <w:rPr>
                <w:rFonts w:asciiTheme="minorHAnsi" w:eastAsia="Arial" w:hAnsiTheme="minorHAnsi" w:cs="Arial"/>
                <w:b/>
                <w:bCs/>
                <w:color w:val="050505"/>
                <w:sz w:val="24"/>
                <w:szCs w:val="24"/>
              </w:rPr>
              <w:t>82</w:t>
            </w:r>
            <w:r>
              <w:rPr>
                <w:rFonts w:asciiTheme="minorHAnsi" w:eastAsia="Arial" w:hAnsiTheme="minorHAnsi" w:cs="Arial"/>
                <w:b/>
                <w:bCs/>
                <w:color w:val="050505"/>
                <w:sz w:val="24"/>
                <w:szCs w:val="24"/>
              </w:rPr>
              <w:t xml:space="preserve">% achieving expected </w:t>
            </w:r>
            <w:r w:rsidRPr="00A16588">
              <w:rPr>
                <w:rFonts w:asciiTheme="minorHAnsi" w:eastAsia="Arial" w:hAnsiTheme="minorHAnsi" w:cs="Arial"/>
                <w:b/>
                <w:bCs/>
                <w:color w:val="050505"/>
                <w:sz w:val="24"/>
                <w:szCs w:val="24"/>
              </w:rPr>
              <w:t>in reading,</w:t>
            </w:r>
            <w:r>
              <w:rPr>
                <w:rFonts w:asciiTheme="minorHAnsi" w:eastAsia="Arial" w:hAnsiTheme="minorHAnsi" w:cs="Arial"/>
                <w:b/>
                <w:bCs/>
                <w:color w:val="050505"/>
                <w:sz w:val="24"/>
                <w:szCs w:val="24"/>
              </w:rPr>
              <w:t xml:space="preserve"> writing &amp; maths</w:t>
            </w:r>
          </w:p>
          <w:p w:rsidR="00A16588" w:rsidRPr="00A16588" w:rsidRDefault="00A16588" w:rsidP="00A16588">
            <w:pPr>
              <w:spacing w:after="240" w:line="276" w:lineRule="auto"/>
              <w:ind w:right="-23"/>
              <w:rPr>
                <w:rFonts w:asciiTheme="minorHAnsi" w:eastAsia="Arial" w:hAnsiTheme="minorHAnsi" w:cs="Arial"/>
                <w:b/>
                <w:bCs/>
                <w:color w:val="050505"/>
                <w:sz w:val="24"/>
                <w:szCs w:val="24"/>
              </w:rPr>
            </w:pPr>
          </w:p>
          <w:p w:rsidR="00A16588" w:rsidRPr="00A16588" w:rsidRDefault="00A16588" w:rsidP="00A16588">
            <w:pPr>
              <w:spacing w:after="240" w:line="276" w:lineRule="auto"/>
              <w:ind w:right="-23"/>
              <w:rPr>
                <w:rFonts w:asciiTheme="minorHAnsi" w:eastAsia="Arial" w:hAnsiTheme="minorHAnsi" w:cs="Arial"/>
                <w:b/>
                <w:color w:val="0D0D0D"/>
                <w:sz w:val="24"/>
                <w:szCs w:val="24"/>
              </w:rPr>
            </w:pPr>
          </w:p>
        </w:tc>
        <w:tc>
          <w:tcPr>
            <w:tcW w:w="3164" w:type="dxa"/>
            <w:shd w:val="clear" w:color="auto" w:fill="auto"/>
            <w:tcMar>
              <w:top w:w="57" w:type="dxa"/>
              <w:bottom w:w="57" w:type="dxa"/>
            </w:tcMar>
            <w:vAlign w:val="center"/>
          </w:tcPr>
          <w:p w:rsidR="00A16588" w:rsidRPr="00A16588" w:rsidRDefault="00BA148D"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12 (6</w:t>
            </w:r>
            <w:r w:rsidR="00C86D91">
              <w:rPr>
                <w:rFonts w:asciiTheme="minorHAnsi" w:hAnsiTheme="minorHAnsi" w:cs="Arial"/>
                <w:b/>
                <w:color w:val="0D0D0D"/>
                <w:sz w:val="24"/>
                <w:szCs w:val="24"/>
              </w:rPr>
              <w:t>7%)</w:t>
            </w:r>
          </w:p>
        </w:tc>
        <w:tc>
          <w:tcPr>
            <w:tcW w:w="2524" w:type="dxa"/>
            <w:shd w:val="clear" w:color="auto" w:fill="F2F2F2"/>
            <w:tcMar>
              <w:top w:w="57" w:type="dxa"/>
              <w:bottom w:w="57" w:type="dxa"/>
            </w:tcMar>
          </w:tcPr>
          <w:p w:rsidR="00A16588" w:rsidRPr="009B19B4" w:rsidRDefault="009135B8" w:rsidP="00A16588">
            <w:pPr>
              <w:spacing w:after="240" w:line="288" w:lineRule="auto"/>
              <w:jc w:val="center"/>
              <w:rPr>
                <w:rFonts w:asciiTheme="minorHAnsi" w:hAnsiTheme="minorHAnsi" w:cs="Arial"/>
                <w:b/>
                <w:color w:val="0D0D0D"/>
                <w:sz w:val="24"/>
                <w:szCs w:val="24"/>
              </w:rPr>
            </w:pPr>
            <w:r>
              <w:rPr>
                <w:rFonts w:asciiTheme="minorHAnsi" w:hAnsiTheme="minorHAnsi" w:cs="Arial"/>
                <w:b/>
                <w:color w:val="0D0D0D"/>
                <w:sz w:val="24"/>
                <w:szCs w:val="24"/>
              </w:rPr>
              <w:t>61%</w:t>
            </w:r>
          </w:p>
        </w:tc>
      </w:tr>
      <w:tr w:rsidR="00A16588" w:rsidRPr="00A16588" w:rsidTr="00FF41EA">
        <w:trPr>
          <w:trHeight w:hRule="exact" w:val="493"/>
        </w:trPr>
        <w:tc>
          <w:tcPr>
            <w:tcW w:w="8913" w:type="dxa"/>
            <w:gridSpan w:val="2"/>
            <w:tcMar>
              <w:top w:w="57" w:type="dxa"/>
              <w:bottom w:w="57" w:type="dxa"/>
            </w:tcMar>
            <w:vAlign w:val="bottom"/>
          </w:tcPr>
          <w:p w:rsidR="00A16588" w:rsidRPr="00A16588" w:rsidRDefault="00A16588" w:rsidP="00A1658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color w:val="0D0D0D"/>
                <w:sz w:val="24"/>
                <w:szCs w:val="24"/>
              </w:rPr>
              <w:t xml:space="preserve">Year 2 -                     </w:t>
            </w:r>
            <w:r w:rsidR="001368A1">
              <w:rPr>
                <w:rFonts w:asciiTheme="minorHAnsi" w:eastAsia="Arial" w:hAnsiTheme="minorHAnsi" w:cs="Arial"/>
                <w:b/>
                <w:color w:val="0D0D0D"/>
                <w:sz w:val="24"/>
                <w:szCs w:val="24"/>
              </w:rPr>
              <w:t>67%</w:t>
            </w:r>
            <w:r>
              <w:rPr>
                <w:rFonts w:asciiTheme="minorHAnsi" w:eastAsia="Arial" w:hAnsiTheme="minorHAnsi" w:cs="Arial"/>
                <w:b/>
                <w:bCs/>
                <w:color w:val="050505"/>
                <w:sz w:val="24"/>
                <w:szCs w:val="24"/>
              </w:rPr>
              <w:t xml:space="preserve"> achieving expected </w:t>
            </w:r>
            <w:r w:rsidRPr="00A16588">
              <w:rPr>
                <w:rFonts w:asciiTheme="minorHAnsi" w:eastAsia="Arial" w:hAnsiTheme="minorHAnsi" w:cs="Arial"/>
                <w:b/>
                <w:bCs/>
                <w:color w:val="050505"/>
                <w:sz w:val="24"/>
                <w:szCs w:val="24"/>
              </w:rPr>
              <w:t>in reading,</w:t>
            </w:r>
            <w:r>
              <w:rPr>
                <w:rFonts w:asciiTheme="minorHAnsi" w:eastAsia="Arial" w:hAnsiTheme="minorHAnsi" w:cs="Arial"/>
                <w:b/>
                <w:bCs/>
                <w:color w:val="050505"/>
                <w:sz w:val="24"/>
                <w:szCs w:val="24"/>
              </w:rPr>
              <w:t xml:space="preserve"> writing &amp; maths</w:t>
            </w:r>
            <w:r w:rsidR="001368A1">
              <w:rPr>
                <w:rFonts w:asciiTheme="minorHAnsi" w:eastAsia="Arial" w:hAnsiTheme="minorHAnsi" w:cs="Arial"/>
                <w:b/>
                <w:bCs/>
                <w:color w:val="050505"/>
                <w:sz w:val="24"/>
                <w:szCs w:val="24"/>
              </w:rPr>
              <w:t xml:space="preserve"> </w:t>
            </w:r>
          </w:p>
          <w:p w:rsidR="00A16588" w:rsidRPr="00A16588" w:rsidRDefault="00A16588" w:rsidP="00A16588">
            <w:pPr>
              <w:spacing w:after="240" w:line="276" w:lineRule="auto"/>
              <w:ind w:right="-23"/>
              <w:rPr>
                <w:rFonts w:asciiTheme="minorHAnsi" w:eastAsia="Arial" w:hAnsiTheme="minorHAnsi" w:cs="Arial"/>
                <w:b/>
                <w:color w:val="0D0D0D"/>
                <w:sz w:val="24"/>
                <w:szCs w:val="24"/>
              </w:rPr>
            </w:pPr>
          </w:p>
        </w:tc>
        <w:tc>
          <w:tcPr>
            <w:tcW w:w="3164" w:type="dxa"/>
            <w:shd w:val="clear" w:color="auto" w:fill="auto"/>
            <w:tcMar>
              <w:top w:w="57" w:type="dxa"/>
              <w:bottom w:w="57" w:type="dxa"/>
            </w:tcMar>
            <w:vAlign w:val="center"/>
          </w:tcPr>
          <w:p w:rsidR="00A16588" w:rsidRPr="00A16588" w:rsidRDefault="003D425F"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9 (63</w:t>
            </w:r>
            <w:r w:rsidR="00C86D91">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9B19B4" w:rsidRDefault="009135B8" w:rsidP="009B19B4">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N/A</w:t>
            </w:r>
          </w:p>
        </w:tc>
      </w:tr>
      <w:tr w:rsidR="00A16588" w:rsidRPr="00A16588" w:rsidTr="00FF41EA">
        <w:trPr>
          <w:trHeight w:hRule="exact" w:val="515"/>
        </w:trPr>
        <w:tc>
          <w:tcPr>
            <w:tcW w:w="8913" w:type="dxa"/>
            <w:gridSpan w:val="2"/>
            <w:tcMar>
              <w:top w:w="57" w:type="dxa"/>
              <w:bottom w:w="57" w:type="dxa"/>
            </w:tcMar>
            <w:vAlign w:val="bottom"/>
          </w:tcPr>
          <w:p w:rsidR="00A16588" w:rsidRPr="00A16588" w:rsidRDefault="00A16588" w:rsidP="009135B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t xml:space="preserve">Year 1 -                     </w:t>
            </w:r>
            <w:r w:rsidR="003D425F">
              <w:rPr>
                <w:rFonts w:asciiTheme="minorHAnsi" w:eastAsia="Arial" w:hAnsiTheme="minorHAnsi" w:cs="Arial"/>
                <w:b/>
                <w:bCs/>
                <w:color w:val="050505"/>
                <w:sz w:val="24"/>
                <w:szCs w:val="24"/>
              </w:rPr>
              <w:t>72</w:t>
            </w:r>
            <w:r>
              <w:rPr>
                <w:rFonts w:asciiTheme="minorHAnsi" w:eastAsia="Arial" w:hAnsiTheme="minorHAnsi" w:cs="Arial"/>
                <w:b/>
                <w:bCs/>
                <w:color w:val="050505"/>
                <w:sz w:val="24"/>
                <w:szCs w:val="24"/>
              </w:rPr>
              <w:t>% expected standard in phonic check</w:t>
            </w:r>
          </w:p>
        </w:tc>
        <w:tc>
          <w:tcPr>
            <w:tcW w:w="3164" w:type="dxa"/>
            <w:shd w:val="clear" w:color="auto" w:fill="auto"/>
            <w:tcMar>
              <w:top w:w="57" w:type="dxa"/>
              <w:bottom w:w="57" w:type="dxa"/>
            </w:tcMar>
            <w:vAlign w:val="center"/>
          </w:tcPr>
          <w:p w:rsidR="00A16588" w:rsidRPr="00A16588" w:rsidRDefault="003D425F"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5 (40</w:t>
            </w:r>
            <w:r w:rsidR="00C86D91">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581E8E" w:rsidRDefault="009135B8" w:rsidP="003D425F">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81%</w:t>
            </w:r>
          </w:p>
        </w:tc>
      </w:tr>
      <w:tr w:rsidR="00A16588" w:rsidRPr="00A16588" w:rsidTr="00FF41EA">
        <w:trPr>
          <w:trHeight w:hRule="exact" w:val="511"/>
        </w:trPr>
        <w:tc>
          <w:tcPr>
            <w:tcW w:w="8913" w:type="dxa"/>
            <w:gridSpan w:val="2"/>
            <w:tcMar>
              <w:top w:w="57" w:type="dxa"/>
              <w:bottom w:w="57" w:type="dxa"/>
            </w:tcMar>
            <w:vAlign w:val="bottom"/>
          </w:tcPr>
          <w:p w:rsidR="00A16588" w:rsidRPr="00A16588" w:rsidRDefault="00A16588" w:rsidP="009135B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lastRenderedPageBreak/>
              <w:t xml:space="preserve">EYFS   -                      </w:t>
            </w:r>
            <w:r w:rsidR="003D425F">
              <w:rPr>
                <w:rFonts w:asciiTheme="minorHAnsi" w:eastAsia="Arial" w:hAnsiTheme="minorHAnsi" w:cs="Arial"/>
                <w:b/>
                <w:bCs/>
                <w:color w:val="050505"/>
                <w:sz w:val="24"/>
                <w:szCs w:val="24"/>
              </w:rPr>
              <w:t>70</w:t>
            </w:r>
            <w:r>
              <w:rPr>
                <w:rFonts w:asciiTheme="minorHAnsi" w:eastAsia="Arial" w:hAnsiTheme="minorHAnsi" w:cs="Arial"/>
                <w:b/>
                <w:bCs/>
                <w:color w:val="050505"/>
                <w:sz w:val="24"/>
                <w:szCs w:val="24"/>
              </w:rPr>
              <w:t>% GLD</w:t>
            </w:r>
            <w:r w:rsidR="003D425F">
              <w:rPr>
                <w:rFonts w:asciiTheme="minorHAnsi" w:eastAsia="Arial" w:hAnsiTheme="minorHAnsi" w:cs="Arial"/>
                <w:b/>
                <w:bCs/>
                <w:color w:val="050505"/>
                <w:sz w:val="24"/>
                <w:szCs w:val="24"/>
              </w:rPr>
              <w:t xml:space="preserve"> </w:t>
            </w:r>
          </w:p>
        </w:tc>
        <w:tc>
          <w:tcPr>
            <w:tcW w:w="3164" w:type="dxa"/>
            <w:shd w:val="clear" w:color="auto" w:fill="auto"/>
            <w:tcMar>
              <w:top w:w="57" w:type="dxa"/>
              <w:bottom w:w="57" w:type="dxa"/>
            </w:tcMar>
            <w:vAlign w:val="center"/>
          </w:tcPr>
          <w:p w:rsidR="00A16588" w:rsidRPr="00A16588" w:rsidRDefault="00C86D91"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 xml:space="preserve">5 </w:t>
            </w:r>
            <w:r w:rsidR="00D72DF0">
              <w:rPr>
                <w:rFonts w:asciiTheme="minorHAnsi" w:hAnsiTheme="minorHAnsi" w:cs="Arial"/>
                <w:b/>
                <w:color w:val="0D0D0D"/>
                <w:sz w:val="24"/>
                <w:szCs w:val="24"/>
              </w:rPr>
              <w:t>(20</w:t>
            </w:r>
            <w:r>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581E8E" w:rsidRDefault="009135B8" w:rsidP="00A16588">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69%</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numPr>
                <w:ilvl w:val="0"/>
                <w:numId w:val="1"/>
              </w:numPr>
              <w:ind w:left="426" w:hanging="284"/>
              <w:rPr>
                <w:rFonts w:asciiTheme="minorHAnsi" w:hAnsiTheme="minorHAnsi" w:cs="Arial"/>
                <w:b/>
                <w:color w:val="0D0D0D"/>
                <w:sz w:val="24"/>
                <w:szCs w:val="24"/>
              </w:rPr>
            </w:pPr>
            <w:r w:rsidRPr="00A16588">
              <w:rPr>
                <w:rFonts w:asciiTheme="minorHAnsi" w:hAnsiTheme="minorHAnsi" w:cs="Arial"/>
                <w:b/>
                <w:color w:val="0D0D0D"/>
                <w:sz w:val="24"/>
                <w:szCs w:val="24"/>
              </w:rPr>
              <w:t>Barriers to future attainment (for pupils eligible for PP)</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spacing w:after="240" w:line="288" w:lineRule="auto"/>
              <w:rPr>
                <w:rFonts w:asciiTheme="minorHAnsi" w:hAnsiTheme="minorHAnsi" w:cs="Arial"/>
                <w:b/>
                <w:color w:val="0D0D0D"/>
                <w:sz w:val="24"/>
                <w:szCs w:val="24"/>
              </w:rPr>
            </w:pPr>
            <w:r w:rsidRPr="00A16588">
              <w:rPr>
                <w:rFonts w:asciiTheme="minorHAnsi" w:hAnsiTheme="minorHAnsi" w:cs="Arial"/>
                <w:b/>
                <w:color w:val="0D0D0D"/>
                <w:sz w:val="24"/>
                <w:szCs w:val="24"/>
              </w:rPr>
              <w:t xml:space="preserve">In-school barriers </w:t>
            </w:r>
            <w:r w:rsidRPr="00A16588">
              <w:rPr>
                <w:rFonts w:asciiTheme="minorHAnsi" w:hAnsiTheme="minorHAnsi" w:cs="Arial"/>
                <w:i/>
                <w:color w:val="0D0D0D"/>
                <w:sz w:val="24"/>
                <w:szCs w:val="24"/>
              </w:rPr>
              <w:t>(issues to be addressed in school, such as poor oral language skills)</w:t>
            </w:r>
          </w:p>
        </w:tc>
      </w:tr>
      <w:tr w:rsidR="00A16588" w:rsidRPr="00A16588" w:rsidTr="005D0C36">
        <w:trPr>
          <w:trHeight w:hRule="exact" w:val="2985"/>
        </w:trPr>
        <w:tc>
          <w:tcPr>
            <w:tcW w:w="6096" w:type="dxa"/>
            <w:tcMar>
              <w:top w:w="57" w:type="dxa"/>
              <w:bottom w:w="57" w:type="dxa"/>
            </w:tcMar>
          </w:tcPr>
          <w:p w:rsidR="00A16588" w:rsidRPr="00FA2878" w:rsidRDefault="00371085" w:rsidP="00371085">
            <w:pPr>
              <w:pStyle w:val="ListParagraph"/>
              <w:numPr>
                <w:ilvl w:val="0"/>
                <w:numId w:val="6"/>
              </w:numPr>
              <w:tabs>
                <w:tab w:val="left" w:pos="75"/>
              </w:tabs>
              <w:ind w:left="360"/>
              <w:rPr>
                <w:rFonts w:asciiTheme="minorHAnsi" w:hAnsiTheme="minorHAnsi" w:cs="Arial"/>
                <w:b/>
                <w:color w:val="0D0D0D"/>
                <w:sz w:val="24"/>
                <w:szCs w:val="24"/>
              </w:rPr>
            </w:pPr>
            <w:r>
              <w:rPr>
                <w:rFonts w:asciiTheme="minorHAnsi" w:hAnsiTheme="minorHAnsi" w:cs="Arial"/>
                <w:b/>
                <w:color w:val="0D0D0D"/>
                <w:sz w:val="24"/>
                <w:szCs w:val="24"/>
              </w:rPr>
              <w:t>Low Levels of oral skills including understanding of language.</w:t>
            </w:r>
          </w:p>
        </w:tc>
        <w:tc>
          <w:tcPr>
            <w:tcW w:w="8505" w:type="dxa"/>
            <w:gridSpan w:val="3"/>
          </w:tcPr>
          <w:p w:rsidR="00371085" w:rsidRDefault="003F5F38" w:rsidP="00371085">
            <w:pPr>
              <w:spacing w:line="288" w:lineRule="auto"/>
              <w:rPr>
                <w:rFonts w:asciiTheme="minorHAnsi" w:hAnsiTheme="minorHAnsi" w:cs="Arial"/>
                <w:color w:val="0D0D0D"/>
                <w:sz w:val="24"/>
                <w:szCs w:val="24"/>
              </w:rPr>
            </w:pPr>
            <w:r>
              <w:rPr>
                <w:rFonts w:asciiTheme="minorHAnsi" w:hAnsiTheme="minorHAnsi" w:cs="Arial"/>
                <w:color w:val="0D0D0D"/>
                <w:sz w:val="24"/>
                <w:szCs w:val="24"/>
              </w:rPr>
              <w:t xml:space="preserve">In 2017, </w:t>
            </w:r>
            <w:r w:rsidR="00E2734C">
              <w:rPr>
                <w:rFonts w:asciiTheme="minorHAnsi" w:hAnsiTheme="minorHAnsi" w:cs="Arial"/>
                <w:color w:val="0D0D0D"/>
                <w:sz w:val="24"/>
                <w:szCs w:val="24"/>
              </w:rPr>
              <w:t>only 50% of disadvantaged pupils entered reception at the age-related expec</w:t>
            </w:r>
            <w:r w:rsidR="00371085">
              <w:rPr>
                <w:rFonts w:asciiTheme="minorHAnsi" w:hAnsiTheme="minorHAnsi" w:cs="Arial"/>
                <w:color w:val="0D0D0D"/>
                <w:sz w:val="24"/>
                <w:szCs w:val="24"/>
              </w:rPr>
              <w:t>tation in speaking and language (40-60months developing).</w:t>
            </w:r>
          </w:p>
          <w:p w:rsidR="00371085" w:rsidRDefault="00371085" w:rsidP="00371085">
            <w:pPr>
              <w:spacing w:line="288" w:lineRule="auto"/>
              <w:rPr>
                <w:rFonts w:asciiTheme="minorHAnsi" w:hAnsiTheme="minorHAnsi" w:cs="Arial"/>
                <w:color w:val="0D0D0D"/>
                <w:sz w:val="24"/>
                <w:szCs w:val="24"/>
              </w:rPr>
            </w:pPr>
            <w:r>
              <w:rPr>
                <w:rFonts w:asciiTheme="minorHAnsi" w:hAnsiTheme="minorHAnsi" w:cs="Arial"/>
                <w:color w:val="0D0D0D"/>
                <w:sz w:val="24"/>
                <w:szCs w:val="24"/>
              </w:rPr>
              <w:t>In addition, the percentage of disadvantaged pupils passing the phonics screening in 2017 dropped by 31% to 40%.</w:t>
            </w:r>
          </w:p>
          <w:p w:rsidR="00371085" w:rsidRPr="00A16588" w:rsidRDefault="00371085" w:rsidP="00371085">
            <w:pPr>
              <w:spacing w:line="288" w:lineRule="auto"/>
              <w:rPr>
                <w:rFonts w:asciiTheme="minorHAnsi" w:hAnsiTheme="minorHAnsi" w:cs="Arial"/>
                <w:color w:val="0D0D0D"/>
                <w:sz w:val="24"/>
                <w:szCs w:val="24"/>
              </w:rPr>
            </w:pPr>
            <w:r>
              <w:rPr>
                <w:rFonts w:asciiTheme="minorHAnsi" w:hAnsiTheme="minorHAnsi" w:cs="Arial"/>
                <w:color w:val="0D0D0D"/>
                <w:sz w:val="24"/>
                <w:szCs w:val="24"/>
              </w:rPr>
              <w:t xml:space="preserve">In the year 6 GPS test, the percentage of disadvantaged pupils scoring marks for the language questions </w:t>
            </w:r>
            <w:r w:rsidR="005D0C36">
              <w:rPr>
                <w:rFonts w:asciiTheme="minorHAnsi" w:hAnsiTheme="minorHAnsi" w:cs="Arial"/>
                <w:color w:val="0D0D0D"/>
                <w:sz w:val="24"/>
                <w:szCs w:val="24"/>
              </w:rPr>
              <w:t>was less than the national percentage.  In addition, year 6 children scored less marks on the reading paper for language questions than any other question.</w:t>
            </w:r>
          </w:p>
        </w:tc>
      </w:tr>
      <w:tr w:rsidR="00A16588" w:rsidRPr="00A16588" w:rsidTr="0082552E">
        <w:trPr>
          <w:trHeight w:hRule="exact" w:val="2490"/>
        </w:trPr>
        <w:tc>
          <w:tcPr>
            <w:tcW w:w="6096" w:type="dxa"/>
            <w:tcMar>
              <w:top w:w="57" w:type="dxa"/>
              <w:bottom w:w="57" w:type="dxa"/>
            </w:tcMar>
          </w:tcPr>
          <w:p w:rsidR="00A16588" w:rsidRPr="00FA2878" w:rsidRDefault="006A0E6E" w:rsidP="006A0E6E">
            <w:pPr>
              <w:pStyle w:val="ListParagraph"/>
              <w:numPr>
                <w:ilvl w:val="0"/>
                <w:numId w:val="6"/>
              </w:numPr>
              <w:tabs>
                <w:tab w:val="left" w:pos="75"/>
              </w:tabs>
              <w:ind w:left="360"/>
              <w:rPr>
                <w:rFonts w:asciiTheme="minorHAnsi" w:hAnsiTheme="minorHAnsi" w:cs="Arial"/>
                <w:b/>
                <w:color w:val="0D0D0D"/>
                <w:sz w:val="24"/>
                <w:szCs w:val="24"/>
              </w:rPr>
            </w:pPr>
            <w:r>
              <w:rPr>
                <w:rFonts w:asciiTheme="minorHAnsi" w:hAnsiTheme="minorHAnsi" w:cs="Arial"/>
                <w:b/>
                <w:color w:val="0D0D0D"/>
                <w:sz w:val="24"/>
                <w:szCs w:val="24"/>
              </w:rPr>
              <w:t>Children’s social and emotional needs lead to difficulties in developing relationships and impacts on their learning.</w:t>
            </w:r>
          </w:p>
        </w:tc>
        <w:tc>
          <w:tcPr>
            <w:tcW w:w="8505" w:type="dxa"/>
            <w:gridSpan w:val="3"/>
          </w:tcPr>
          <w:p w:rsidR="00295964" w:rsidRDefault="005D0C36" w:rsidP="00FA2878">
            <w:pPr>
              <w:spacing w:line="288" w:lineRule="auto"/>
              <w:rPr>
                <w:rFonts w:asciiTheme="minorHAnsi" w:hAnsiTheme="minorHAnsi" w:cs="Arial"/>
                <w:color w:val="0D0D0D"/>
                <w:sz w:val="24"/>
                <w:szCs w:val="24"/>
              </w:rPr>
            </w:pPr>
            <w:r>
              <w:rPr>
                <w:rFonts w:asciiTheme="minorHAnsi" w:hAnsiTheme="minorHAnsi" w:cs="Arial"/>
                <w:color w:val="0D0D0D"/>
                <w:sz w:val="24"/>
                <w:szCs w:val="24"/>
              </w:rPr>
              <w:t>Over the last academic year, we have seen an increase in the number of disadvantaged pupils (and families of disadvantaged pupils) accessing support from the EWB worker.</w:t>
            </w:r>
          </w:p>
          <w:p w:rsidR="00D604C0" w:rsidRPr="00A16588" w:rsidRDefault="00D604C0" w:rsidP="00D604C0">
            <w:pPr>
              <w:spacing w:line="288" w:lineRule="auto"/>
              <w:rPr>
                <w:rFonts w:asciiTheme="minorHAnsi" w:hAnsiTheme="minorHAnsi" w:cs="Arial"/>
                <w:color w:val="0D0D0D"/>
                <w:sz w:val="24"/>
                <w:szCs w:val="24"/>
              </w:rPr>
            </w:pPr>
            <w:r>
              <w:rPr>
                <w:rFonts w:asciiTheme="minorHAnsi" w:hAnsiTheme="minorHAnsi" w:cs="Arial"/>
                <w:color w:val="0D0D0D"/>
                <w:sz w:val="24"/>
                <w:szCs w:val="24"/>
              </w:rPr>
              <w:t>There has been an increase in fixed-term exclusions, from 0% of all pupils in 2015/16, to 0.017% in 2016/17.  This was one disadvantaged, who had 2 x fixed term exclusions.</w:t>
            </w:r>
          </w:p>
        </w:tc>
      </w:tr>
      <w:tr w:rsidR="003E0FBE" w:rsidRPr="00A16588" w:rsidTr="00F433BB">
        <w:trPr>
          <w:trHeight w:hRule="exact" w:val="1789"/>
        </w:trPr>
        <w:tc>
          <w:tcPr>
            <w:tcW w:w="6096" w:type="dxa"/>
            <w:tcMar>
              <w:top w:w="57" w:type="dxa"/>
              <w:bottom w:w="57" w:type="dxa"/>
            </w:tcMar>
          </w:tcPr>
          <w:p w:rsidR="003E0FBE" w:rsidRPr="003E0FBE" w:rsidRDefault="006A0E6E" w:rsidP="003E0FBE">
            <w:pPr>
              <w:pStyle w:val="ListParagraph"/>
              <w:numPr>
                <w:ilvl w:val="0"/>
                <w:numId w:val="6"/>
              </w:numPr>
              <w:tabs>
                <w:tab w:val="left" w:pos="75"/>
              </w:tabs>
              <w:spacing w:after="240" w:line="288" w:lineRule="auto"/>
              <w:ind w:left="360"/>
              <w:rPr>
                <w:rFonts w:asciiTheme="minorHAnsi" w:hAnsiTheme="minorHAnsi" w:cs="Arial"/>
                <w:b/>
                <w:color w:val="0D0D0D"/>
                <w:sz w:val="24"/>
                <w:szCs w:val="24"/>
              </w:rPr>
            </w:pPr>
            <w:r>
              <w:rPr>
                <w:rFonts w:asciiTheme="minorHAnsi" w:hAnsiTheme="minorHAnsi" w:cs="Arial"/>
                <w:b/>
                <w:color w:val="0D0D0D"/>
                <w:sz w:val="24"/>
                <w:szCs w:val="24"/>
              </w:rPr>
              <w:lastRenderedPageBreak/>
              <w:t>Lack of aspiration, which impacts on what they think they are able to achieve at school.</w:t>
            </w:r>
          </w:p>
        </w:tc>
        <w:tc>
          <w:tcPr>
            <w:tcW w:w="8505" w:type="dxa"/>
            <w:gridSpan w:val="3"/>
          </w:tcPr>
          <w:p w:rsidR="00F433BB" w:rsidRPr="00FA2878" w:rsidRDefault="00E211C8" w:rsidP="00E211C8">
            <w:pPr>
              <w:spacing w:line="288" w:lineRule="auto"/>
              <w:rPr>
                <w:rFonts w:asciiTheme="minorHAnsi" w:hAnsiTheme="minorHAnsi" w:cs="Arial"/>
                <w:color w:val="0D0D0D"/>
                <w:sz w:val="24"/>
                <w:szCs w:val="24"/>
              </w:rPr>
            </w:pPr>
            <w:r>
              <w:rPr>
                <w:rFonts w:asciiTheme="minorHAnsi" w:hAnsiTheme="minorHAnsi" w:cs="Arial"/>
                <w:color w:val="0D0D0D"/>
                <w:sz w:val="24"/>
                <w:szCs w:val="24"/>
              </w:rPr>
              <w:t>Through numerous pupil surveys and pupil voice, it is clear that a significant number of pupils, particularly those from disadvantaged backgrounds, have a lack of aspiration.  Our work needs to focus on providing experiences where children can show their potential in a range of different ways, not just academically.  This fits with our priority of really ‘championing’ our children.</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spacing w:after="240" w:line="288" w:lineRule="auto"/>
              <w:ind w:left="426"/>
              <w:rPr>
                <w:rFonts w:asciiTheme="minorHAnsi" w:hAnsiTheme="minorHAnsi" w:cs="Arial"/>
                <w:b/>
                <w:color w:val="0D0D0D"/>
                <w:sz w:val="24"/>
                <w:szCs w:val="24"/>
              </w:rPr>
            </w:pPr>
            <w:r w:rsidRPr="00A16588">
              <w:rPr>
                <w:rFonts w:asciiTheme="minorHAnsi" w:hAnsiTheme="minorHAnsi" w:cs="Arial"/>
                <w:b/>
                <w:color w:val="0D0D0D"/>
                <w:sz w:val="24"/>
                <w:szCs w:val="24"/>
              </w:rPr>
              <w:t xml:space="preserve">External barriers </w:t>
            </w:r>
            <w:r w:rsidRPr="00A16588">
              <w:rPr>
                <w:rFonts w:asciiTheme="minorHAnsi" w:hAnsiTheme="minorHAnsi" w:cs="Arial"/>
                <w:i/>
                <w:color w:val="0D0D0D"/>
                <w:sz w:val="24"/>
                <w:szCs w:val="24"/>
              </w:rPr>
              <w:t>(issues which also require action outside school, such as low attendance rates)</w:t>
            </w:r>
          </w:p>
        </w:tc>
      </w:tr>
      <w:tr w:rsidR="00A16588" w:rsidRPr="00A16588" w:rsidTr="00F433BB">
        <w:trPr>
          <w:trHeight w:hRule="exact" w:val="1300"/>
        </w:trPr>
        <w:tc>
          <w:tcPr>
            <w:tcW w:w="6096" w:type="dxa"/>
            <w:tcMar>
              <w:top w:w="57" w:type="dxa"/>
              <w:bottom w:w="57" w:type="dxa"/>
            </w:tcMar>
          </w:tcPr>
          <w:p w:rsidR="00A16588" w:rsidRPr="00F433BB" w:rsidRDefault="006A0E6E" w:rsidP="00F433BB">
            <w:pPr>
              <w:pStyle w:val="ListParagraph"/>
              <w:numPr>
                <w:ilvl w:val="0"/>
                <w:numId w:val="7"/>
              </w:numPr>
              <w:tabs>
                <w:tab w:val="left" w:pos="60"/>
                <w:tab w:val="left" w:pos="284"/>
              </w:tabs>
              <w:spacing w:after="240" w:line="288" w:lineRule="auto"/>
              <w:ind w:left="360"/>
              <w:rPr>
                <w:rFonts w:asciiTheme="minorHAnsi" w:hAnsiTheme="minorHAnsi" w:cs="Arial"/>
                <w:b/>
                <w:color w:val="0D0D0D"/>
                <w:sz w:val="24"/>
                <w:szCs w:val="24"/>
              </w:rPr>
            </w:pPr>
            <w:r>
              <w:rPr>
                <w:rFonts w:asciiTheme="minorHAnsi" w:hAnsiTheme="minorHAnsi" w:cs="Arial"/>
                <w:b/>
                <w:color w:val="0D0D0D"/>
                <w:sz w:val="24"/>
                <w:szCs w:val="24"/>
              </w:rPr>
              <w:t xml:space="preserve">  Attendance – persistent absence</w:t>
            </w:r>
          </w:p>
        </w:tc>
        <w:tc>
          <w:tcPr>
            <w:tcW w:w="8505" w:type="dxa"/>
            <w:gridSpan w:val="3"/>
          </w:tcPr>
          <w:p w:rsidR="00A16588" w:rsidRPr="00F433BB" w:rsidRDefault="004223C6" w:rsidP="003F5F38">
            <w:pPr>
              <w:rPr>
                <w:rFonts w:asciiTheme="minorHAnsi" w:hAnsiTheme="minorHAnsi" w:cs="Arial"/>
                <w:sz w:val="24"/>
              </w:rPr>
            </w:pPr>
            <w:r>
              <w:rPr>
                <w:rFonts w:asciiTheme="minorHAnsi" w:hAnsiTheme="minorHAnsi" w:cs="Arial"/>
                <w:sz w:val="24"/>
              </w:rPr>
              <w:t>In 2016, the level of PA for disadvantaged pupils, despite being below national and a reduction on the previous year, was still high at 12.8%.</w:t>
            </w:r>
            <w:r w:rsidR="003F5F38">
              <w:rPr>
                <w:rFonts w:asciiTheme="minorHAnsi" w:hAnsiTheme="minorHAnsi" w:cs="Arial"/>
                <w:sz w:val="24"/>
              </w:rPr>
              <w:t xml:space="preserve">  As the previous initiatives around PA has reduced our own PA of disadvantaged pupils by 5.7%, the focus still needs to be placed on this area to prevent this creeping back up again.</w:t>
            </w:r>
          </w:p>
        </w:tc>
      </w:tr>
      <w:tr w:rsidR="00C86D91" w:rsidRPr="00A16588" w:rsidTr="00F00CA4">
        <w:trPr>
          <w:trHeight w:hRule="exact" w:val="1033"/>
        </w:trPr>
        <w:tc>
          <w:tcPr>
            <w:tcW w:w="6096" w:type="dxa"/>
            <w:tcMar>
              <w:top w:w="57" w:type="dxa"/>
              <w:bottom w:w="57" w:type="dxa"/>
            </w:tcMar>
          </w:tcPr>
          <w:p w:rsidR="00C86D91" w:rsidRPr="00F433BB" w:rsidRDefault="007412EC" w:rsidP="00F433BB">
            <w:pPr>
              <w:pStyle w:val="ListParagraph"/>
              <w:numPr>
                <w:ilvl w:val="0"/>
                <w:numId w:val="7"/>
              </w:numPr>
              <w:tabs>
                <w:tab w:val="left" w:pos="60"/>
                <w:tab w:val="left" w:pos="284"/>
              </w:tabs>
              <w:spacing w:after="240" w:line="288" w:lineRule="auto"/>
              <w:ind w:left="360"/>
              <w:rPr>
                <w:rFonts w:cs="Arial"/>
                <w:b/>
                <w:color w:val="0D0D0D"/>
                <w:sz w:val="24"/>
                <w:szCs w:val="24"/>
              </w:rPr>
            </w:pPr>
            <w:r>
              <w:rPr>
                <w:rFonts w:asciiTheme="minorHAnsi" w:hAnsiTheme="minorHAnsi" w:cs="Arial"/>
                <w:b/>
                <w:color w:val="0D0D0D"/>
                <w:sz w:val="24"/>
                <w:szCs w:val="24"/>
              </w:rPr>
              <w:t>Participation in extra-curricular enrichment activities.</w:t>
            </w:r>
          </w:p>
        </w:tc>
        <w:tc>
          <w:tcPr>
            <w:tcW w:w="8505" w:type="dxa"/>
            <w:gridSpan w:val="3"/>
          </w:tcPr>
          <w:p w:rsidR="00C86D91" w:rsidRPr="007412EC" w:rsidRDefault="00F00CA4" w:rsidP="00DB4EB8">
            <w:pPr>
              <w:rPr>
                <w:rFonts w:asciiTheme="minorHAnsi" w:hAnsiTheme="minorHAnsi" w:cs="Arial"/>
                <w:color w:val="0D0D0D"/>
                <w:sz w:val="24"/>
                <w:szCs w:val="24"/>
              </w:rPr>
            </w:pPr>
            <w:r>
              <w:rPr>
                <w:rFonts w:asciiTheme="minorHAnsi" w:hAnsiTheme="minorHAnsi" w:cs="Arial"/>
                <w:color w:val="0D0D0D"/>
                <w:sz w:val="24"/>
                <w:szCs w:val="24"/>
              </w:rPr>
              <w:t>The percentage of disadvantaged pupils taking part in extra-curricular activities is lower than that of non-disadvantaged pupils.  Providing enrichment activities that appeal to disadvantaged pupils is key to addressing this.</w:t>
            </w:r>
          </w:p>
        </w:tc>
      </w:tr>
    </w:tbl>
    <w:p w:rsidR="00E63617" w:rsidRDefault="00E63617"/>
    <w:tbl>
      <w:tblPr>
        <w:tblStyle w:val="TableGrid"/>
        <w:tblW w:w="14520" w:type="dxa"/>
        <w:tblInd w:w="-572" w:type="dxa"/>
        <w:tblLook w:val="04A0" w:firstRow="1" w:lastRow="0" w:firstColumn="1" w:lastColumn="0" w:noHBand="0" w:noVBand="1"/>
      </w:tblPr>
      <w:tblGrid>
        <w:gridCol w:w="2183"/>
        <w:gridCol w:w="2132"/>
        <w:gridCol w:w="1115"/>
        <w:gridCol w:w="1224"/>
        <w:gridCol w:w="1817"/>
        <w:gridCol w:w="1949"/>
        <w:gridCol w:w="2869"/>
        <w:gridCol w:w="1231"/>
      </w:tblGrid>
      <w:tr w:rsidR="00DB4EB8" w:rsidTr="00FD5695">
        <w:tc>
          <w:tcPr>
            <w:tcW w:w="2183" w:type="dxa"/>
          </w:tcPr>
          <w:p w:rsidR="00473E95" w:rsidRPr="00473E95" w:rsidRDefault="00473E95" w:rsidP="00473E95">
            <w:r>
              <w:t>What is the intended o</w:t>
            </w:r>
            <w:r w:rsidRPr="00473E95">
              <w:t>utcome</w:t>
            </w:r>
            <w:r>
              <w:t>?</w:t>
            </w:r>
          </w:p>
        </w:tc>
        <w:tc>
          <w:tcPr>
            <w:tcW w:w="2132" w:type="dxa"/>
          </w:tcPr>
          <w:p w:rsidR="00473E95" w:rsidRPr="00473E95" w:rsidRDefault="00473E95">
            <w:r w:rsidRPr="00473E95">
              <w:t>What will we do?</w:t>
            </w:r>
          </w:p>
        </w:tc>
        <w:tc>
          <w:tcPr>
            <w:tcW w:w="1115" w:type="dxa"/>
          </w:tcPr>
          <w:p w:rsidR="00473E95" w:rsidRDefault="00473E95">
            <w:r>
              <w:t>How much will it cost?</w:t>
            </w:r>
          </w:p>
        </w:tc>
        <w:tc>
          <w:tcPr>
            <w:tcW w:w="1224" w:type="dxa"/>
          </w:tcPr>
          <w:p w:rsidR="00473E95" w:rsidRDefault="00473E95">
            <w:r>
              <w:t xml:space="preserve">How many </w:t>
            </w:r>
            <w:r w:rsidR="00D578F4">
              <w:t xml:space="preserve">pupil premium </w:t>
            </w:r>
            <w:r>
              <w:t>pupils will benefit?</w:t>
            </w:r>
            <w:r w:rsidR="00FF41EA">
              <w:t xml:space="preserve"> </w:t>
            </w:r>
          </w:p>
        </w:tc>
        <w:tc>
          <w:tcPr>
            <w:tcW w:w="1817" w:type="dxa"/>
          </w:tcPr>
          <w:p w:rsidR="00473E95" w:rsidRDefault="00473E95" w:rsidP="00E63617">
            <w:r>
              <w:t>Who will be responsible?</w:t>
            </w:r>
          </w:p>
        </w:tc>
        <w:tc>
          <w:tcPr>
            <w:tcW w:w="1949" w:type="dxa"/>
          </w:tcPr>
          <w:p w:rsidR="00473E95" w:rsidRDefault="00473E95" w:rsidP="00E63617">
            <w:r>
              <w:t>Who and how will this be checked?</w:t>
            </w:r>
          </w:p>
        </w:tc>
        <w:tc>
          <w:tcPr>
            <w:tcW w:w="2869" w:type="dxa"/>
          </w:tcPr>
          <w:p w:rsidR="00473E95" w:rsidRDefault="00473E95">
            <w:r>
              <w:t>What was the impact?</w:t>
            </w:r>
          </w:p>
        </w:tc>
        <w:tc>
          <w:tcPr>
            <w:tcW w:w="1231" w:type="dxa"/>
          </w:tcPr>
          <w:p w:rsidR="00473E95" w:rsidRDefault="00473E95">
            <w:r>
              <w:t>Will we continue this next year?</w:t>
            </w:r>
          </w:p>
          <w:p w:rsidR="00473E95" w:rsidRDefault="00473E95">
            <w:r>
              <w:t>Yes/No</w:t>
            </w:r>
          </w:p>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 xml:space="preserve">Quality of teaching for all </w:t>
            </w:r>
          </w:p>
        </w:tc>
      </w:tr>
      <w:tr w:rsidR="00DB4EB8" w:rsidTr="00FD5695">
        <w:tc>
          <w:tcPr>
            <w:tcW w:w="2183" w:type="dxa"/>
          </w:tcPr>
          <w:p w:rsidR="00473E95" w:rsidRDefault="006A0E6E">
            <w:r>
              <w:t xml:space="preserve">Ensure disadvantaged pupils achieve as well </w:t>
            </w:r>
            <w:r>
              <w:lastRenderedPageBreak/>
              <w:t>as other pupils nationally</w:t>
            </w:r>
          </w:p>
        </w:tc>
        <w:tc>
          <w:tcPr>
            <w:tcW w:w="2132" w:type="dxa"/>
          </w:tcPr>
          <w:p w:rsidR="00473E95" w:rsidRDefault="006A0E6E">
            <w:r>
              <w:lastRenderedPageBreak/>
              <w:t xml:space="preserve">Reduce class sizes in UKS2 to allow for </w:t>
            </w:r>
            <w:r>
              <w:lastRenderedPageBreak/>
              <w:t>more bespoke teaching and support for vulnerable groups.</w:t>
            </w:r>
          </w:p>
        </w:tc>
        <w:tc>
          <w:tcPr>
            <w:tcW w:w="1115" w:type="dxa"/>
          </w:tcPr>
          <w:p w:rsidR="00473E95" w:rsidRPr="00DB4EB8" w:rsidRDefault="001843D9" w:rsidP="00B53ECA">
            <w:pPr>
              <w:jc w:val="center"/>
            </w:pPr>
            <w:r>
              <w:lastRenderedPageBreak/>
              <w:t>£10 968</w:t>
            </w:r>
          </w:p>
        </w:tc>
        <w:tc>
          <w:tcPr>
            <w:tcW w:w="1224" w:type="dxa"/>
          </w:tcPr>
          <w:p w:rsidR="007412EC" w:rsidRDefault="002E04D4" w:rsidP="007412EC">
            <w:pPr>
              <w:jc w:val="center"/>
            </w:pPr>
            <w:r>
              <w:t>16</w:t>
            </w:r>
          </w:p>
        </w:tc>
        <w:tc>
          <w:tcPr>
            <w:tcW w:w="1817" w:type="dxa"/>
          </w:tcPr>
          <w:p w:rsidR="007412EC" w:rsidRDefault="00E73000">
            <w:r>
              <w:t>Stuart Mills</w:t>
            </w:r>
          </w:p>
          <w:p w:rsidR="00E73000" w:rsidRDefault="00E73000">
            <w:r>
              <w:t>(Head of School)</w:t>
            </w:r>
          </w:p>
        </w:tc>
        <w:tc>
          <w:tcPr>
            <w:tcW w:w="1949" w:type="dxa"/>
          </w:tcPr>
          <w:p w:rsidR="00DE322A" w:rsidRDefault="00E73000">
            <w:r>
              <w:t>Pupil progress</w:t>
            </w:r>
            <w:r w:rsidR="005E3A0F">
              <w:t xml:space="preserve"> meetings</w:t>
            </w:r>
          </w:p>
          <w:p w:rsidR="00E73000" w:rsidRDefault="00E73000">
            <w:r>
              <w:lastRenderedPageBreak/>
              <w:t>Attainment in SATs</w:t>
            </w:r>
          </w:p>
          <w:p w:rsidR="00E73000" w:rsidRDefault="00E73000">
            <w:r>
              <w:t>PIRA/PUMA scores</w:t>
            </w:r>
          </w:p>
          <w:p w:rsidR="00FD5695" w:rsidRDefault="00FD5695">
            <w:r>
              <w:t>Pupil books</w:t>
            </w:r>
          </w:p>
        </w:tc>
        <w:tc>
          <w:tcPr>
            <w:tcW w:w="2869" w:type="dxa"/>
          </w:tcPr>
          <w:p w:rsidR="00473E95" w:rsidRDefault="002E04D4">
            <w:pPr>
              <w:rPr>
                <w:sz w:val="20"/>
              </w:rPr>
            </w:pPr>
            <w:r>
              <w:rPr>
                <w:sz w:val="20"/>
              </w:rPr>
              <w:lastRenderedPageBreak/>
              <w:t xml:space="preserve">Outcomes at the end of year 6 indicate that our disadvantaged </w:t>
            </w:r>
            <w:r>
              <w:rPr>
                <w:sz w:val="20"/>
              </w:rPr>
              <w:lastRenderedPageBreak/>
              <w:t>pupils do as well, if not better, than other pupils nationally.  Provisional results show that in reading, 91% of disadvantaged pupils achieved the expected standard, compared to 75% of all pupils nationally (+16%); in writing, 82% of disadvantaged pupils achieved the expected standard, compared to 78% of all pupils nationally (+3%) and in maths, 100% of disadvantaged pupils achieved the expected standard, compared to 76% of all pupils nationally (+24%).</w:t>
            </w:r>
          </w:p>
          <w:p w:rsidR="002E04D4" w:rsidRPr="002E04D4" w:rsidRDefault="002E04D4">
            <w:pPr>
              <w:rPr>
                <w:sz w:val="20"/>
              </w:rPr>
            </w:pPr>
            <w:r>
              <w:rPr>
                <w:sz w:val="20"/>
              </w:rPr>
              <w:t>This shows that our disadvantaged pupils attain well over their time at Bellfield and that, by reducing class teaching groups in Upper Key Stage 2, pupils are making more rapid progress.</w:t>
            </w:r>
          </w:p>
        </w:tc>
        <w:tc>
          <w:tcPr>
            <w:tcW w:w="1231" w:type="dxa"/>
          </w:tcPr>
          <w:p w:rsidR="00473E95" w:rsidRDefault="002E04D4" w:rsidP="002E04D4">
            <w:pPr>
              <w:jc w:val="center"/>
            </w:pPr>
            <w:r>
              <w:lastRenderedPageBreak/>
              <w:t>YES</w:t>
            </w:r>
          </w:p>
        </w:tc>
      </w:tr>
      <w:tr w:rsidR="00DB4EB8" w:rsidTr="00FD5695">
        <w:tc>
          <w:tcPr>
            <w:tcW w:w="2183" w:type="dxa"/>
          </w:tcPr>
          <w:p w:rsidR="00473E95" w:rsidRDefault="00473E95"/>
        </w:tc>
        <w:tc>
          <w:tcPr>
            <w:tcW w:w="2132" w:type="dxa"/>
          </w:tcPr>
          <w:p w:rsidR="00473E95" w:rsidRDefault="00E73000">
            <w:r>
              <w:t>Targeted support for Year 1 and 2 pupils who did n</w:t>
            </w:r>
            <w:r w:rsidR="00E13D12">
              <w:t>ot achieve their ELG in reading – with a specific focus on language skills.</w:t>
            </w:r>
          </w:p>
          <w:p w:rsidR="00E13D12" w:rsidRDefault="00E13D12"/>
          <w:p w:rsidR="00E13D12" w:rsidRDefault="00E13D12"/>
        </w:tc>
        <w:tc>
          <w:tcPr>
            <w:tcW w:w="1115" w:type="dxa"/>
          </w:tcPr>
          <w:p w:rsidR="000300F6" w:rsidRDefault="001843D9" w:rsidP="001843D9">
            <w:pPr>
              <w:jc w:val="center"/>
            </w:pPr>
            <w:r>
              <w:t>£11 263</w:t>
            </w:r>
          </w:p>
        </w:tc>
        <w:tc>
          <w:tcPr>
            <w:tcW w:w="1224" w:type="dxa"/>
          </w:tcPr>
          <w:p w:rsidR="00DB4EB8" w:rsidRDefault="001843D9" w:rsidP="00DB4EB8">
            <w:pPr>
              <w:jc w:val="center"/>
            </w:pPr>
            <w:r>
              <w:t>12</w:t>
            </w:r>
          </w:p>
        </w:tc>
        <w:tc>
          <w:tcPr>
            <w:tcW w:w="1817" w:type="dxa"/>
          </w:tcPr>
          <w:p w:rsidR="00DB4EB8" w:rsidRDefault="00946CEB">
            <w:r>
              <w:t>Anna Howard</w:t>
            </w:r>
          </w:p>
          <w:p w:rsidR="00946CEB" w:rsidRDefault="00946CEB">
            <w:r>
              <w:t>(Assistant Head)</w:t>
            </w:r>
          </w:p>
        </w:tc>
        <w:tc>
          <w:tcPr>
            <w:tcW w:w="1949" w:type="dxa"/>
          </w:tcPr>
          <w:p w:rsidR="00473E95" w:rsidRDefault="00946CEB">
            <w:r>
              <w:t>Pupil progress</w:t>
            </w:r>
            <w:r w:rsidR="005E3A0F">
              <w:t xml:space="preserve"> meetings</w:t>
            </w:r>
          </w:p>
          <w:p w:rsidR="005E3A0F" w:rsidRDefault="005E3A0F">
            <w:r>
              <w:t>Book banding from ECAR</w:t>
            </w:r>
          </w:p>
          <w:p w:rsidR="00946CEB" w:rsidRDefault="00946CEB">
            <w:r>
              <w:t>Phonics pass rate</w:t>
            </w:r>
          </w:p>
          <w:p w:rsidR="00946CEB" w:rsidRDefault="00946CEB">
            <w:r>
              <w:t>Y2 SATs</w:t>
            </w:r>
          </w:p>
          <w:p w:rsidR="00FD5695" w:rsidRDefault="00FD5695">
            <w:r>
              <w:t>Pupil books</w:t>
            </w:r>
          </w:p>
        </w:tc>
        <w:tc>
          <w:tcPr>
            <w:tcW w:w="2869" w:type="dxa"/>
          </w:tcPr>
          <w:p w:rsidR="00473E95" w:rsidRDefault="00A759D1">
            <w:pPr>
              <w:rPr>
                <w:sz w:val="20"/>
              </w:rPr>
            </w:pPr>
            <w:r w:rsidRPr="00A759D1">
              <w:rPr>
                <w:sz w:val="20"/>
              </w:rPr>
              <w:t>There were</w:t>
            </w:r>
            <w:r>
              <w:rPr>
                <w:sz w:val="20"/>
              </w:rPr>
              <w:t xml:space="preserve"> 8 pupils in Y1 who did not achieve their ELG in reading leaving EYFS.</w:t>
            </w:r>
          </w:p>
          <w:p w:rsidR="00A759D1" w:rsidRDefault="00A759D1">
            <w:pPr>
              <w:rPr>
                <w:sz w:val="20"/>
              </w:rPr>
            </w:pPr>
            <w:r>
              <w:rPr>
                <w:sz w:val="20"/>
              </w:rPr>
              <w:t>Through targeted support, 5 of these pupils (63%) passed their phonics check at the end of Y1, representing rapid progress.</w:t>
            </w:r>
          </w:p>
          <w:p w:rsidR="00A759D1" w:rsidRDefault="00A759D1">
            <w:pPr>
              <w:rPr>
                <w:sz w:val="20"/>
              </w:rPr>
            </w:pPr>
            <w:r>
              <w:rPr>
                <w:sz w:val="20"/>
              </w:rPr>
              <w:t>There were 8 pupils in Y2 who did not achieve their ELG in reading leaving EYFS.</w:t>
            </w:r>
          </w:p>
          <w:p w:rsidR="00A759D1" w:rsidRDefault="00A759D1">
            <w:r>
              <w:rPr>
                <w:sz w:val="20"/>
              </w:rPr>
              <w:t>Of these pupils, 2 of them (25%) achieved the expected standard in reading at the end of Y2.  Of the 7 pupils who did not pass their phonics check in Y1, 5 of them (71%) passed in Y2 even though early prediction were only at 50%.</w:t>
            </w:r>
          </w:p>
        </w:tc>
        <w:tc>
          <w:tcPr>
            <w:tcW w:w="1231" w:type="dxa"/>
          </w:tcPr>
          <w:p w:rsidR="00473E95" w:rsidRDefault="002E04D4" w:rsidP="002E04D4">
            <w:pPr>
              <w:jc w:val="center"/>
            </w:pPr>
            <w:r>
              <w:t>YES</w:t>
            </w:r>
          </w:p>
        </w:tc>
      </w:tr>
      <w:tr w:rsidR="003147DE" w:rsidTr="00497C5C">
        <w:trPr>
          <w:trHeight w:val="3286"/>
        </w:trPr>
        <w:tc>
          <w:tcPr>
            <w:tcW w:w="2183" w:type="dxa"/>
          </w:tcPr>
          <w:p w:rsidR="003147DE" w:rsidRDefault="003147DE"/>
        </w:tc>
        <w:tc>
          <w:tcPr>
            <w:tcW w:w="2132" w:type="dxa"/>
          </w:tcPr>
          <w:p w:rsidR="003147DE" w:rsidRDefault="003147DE">
            <w:r>
              <w:t>Targeted support for Y1/2 pupils who did not achieve GLD.</w:t>
            </w:r>
          </w:p>
          <w:p w:rsidR="004223C6" w:rsidRDefault="004223C6"/>
          <w:p w:rsidR="004223C6" w:rsidRDefault="00846DC4">
            <w:r>
              <w:t>Non-class based teacher to provide targeted support and intervention to EYFS pupils who have low starting points – particularly boys and disadvantaged pupils.</w:t>
            </w:r>
          </w:p>
        </w:tc>
        <w:tc>
          <w:tcPr>
            <w:tcW w:w="1115" w:type="dxa"/>
          </w:tcPr>
          <w:p w:rsidR="003147DE" w:rsidRDefault="001843D9" w:rsidP="00DB4EB8">
            <w:pPr>
              <w:jc w:val="center"/>
            </w:pPr>
            <w:r>
              <w:t>£16 751</w:t>
            </w:r>
          </w:p>
        </w:tc>
        <w:tc>
          <w:tcPr>
            <w:tcW w:w="1224" w:type="dxa"/>
          </w:tcPr>
          <w:p w:rsidR="003147DE" w:rsidRDefault="001843D9" w:rsidP="00DB4EB8">
            <w:pPr>
              <w:jc w:val="center"/>
            </w:pPr>
            <w:r>
              <w:t>10</w:t>
            </w:r>
          </w:p>
        </w:tc>
        <w:tc>
          <w:tcPr>
            <w:tcW w:w="1817" w:type="dxa"/>
          </w:tcPr>
          <w:p w:rsidR="003147DE" w:rsidRDefault="003147DE">
            <w:r>
              <w:t>Stuart Mills</w:t>
            </w:r>
          </w:p>
          <w:p w:rsidR="003147DE" w:rsidRDefault="003147DE">
            <w:r>
              <w:t>(Head of School)</w:t>
            </w:r>
          </w:p>
        </w:tc>
        <w:tc>
          <w:tcPr>
            <w:tcW w:w="1949" w:type="dxa"/>
          </w:tcPr>
          <w:p w:rsidR="003147DE" w:rsidRDefault="005E3A0F">
            <w:r>
              <w:t>% of pupils at ARE at end of year</w:t>
            </w:r>
          </w:p>
          <w:p w:rsidR="005E3A0F" w:rsidRDefault="005E3A0F">
            <w:r>
              <w:t>Pupil progress meetings</w:t>
            </w:r>
          </w:p>
          <w:p w:rsidR="00FD5695" w:rsidRDefault="00FD5695">
            <w:r>
              <w:t>Pupil books</w:t>
            </w:r>
          </w:p>
        </w:tc>
        <w:tc>
          <w:tcPr>
            <w:tcW w:w="2869" w:type="dxa"/>
          </w:tcPr>
          <w:p w:rsidR="00FB01CB" w:rsidRDefault="00FB01CB">
            <w:pPr>
              <w:rPr>
                <w:sz w:val="20"/>
              </w:rPr>
            </w:pPr>
            <w:r>
              <w:rPr>
                <w:sz w:val="20"/>
              </w:rPr>
              <w:t xml:space="preserve">As a result of some targeted support and intervention from Miss Howard in the late Spring/Summer term, pupils across KS1 made good </w:t>
            </w:r>
            <w:r w:rsidRPr="006277AC">
              <w:rPr>
                <w:b/>
                <w:sz w:val="20"/>
                <w:u w:val="single"/>
              </w:rPr>
              <w:t>progress</w:t>
            </w:r>
            <w:r>
              <w:rPr>
                <w:sz w:val="20"/>
              </w:rPr>
              <w:t xml:space="preserve"> from their starting points as can be seen in the tables below:</w:t>
            </w:r>
          </w:p>
          <w:p w:rsidR="00FB01CB" w:rsidRDefault="00FB01CB">
            <w:pPr>
              <w:rPr>
                <w:sz w:val="20"/>
              </w:rPr>
            </w:pPr>
          </w:p>
          <w:p w:rsidR="00FB01CB" w:rsidRDefault="006277AC">
            <w:pPr>
              <w:rPr>
                <w:sz w:val="20"/>
              </w:rPr>
            </w:pPr>
            <w:r>
              <w:rPr>
                <w:sz w:val="20"/>
              </w:rPr>
              <w:t>Boys:</w:t>
            </w:r>
          </w:p>
          <w:p w:rsidR="006277AC" w:rsidRDefault="006277AC">
            <w:pPr>
              <w:rPr>
                <w:sz w:val="20"/>
              </w:rPr>
            </w:pPr>
          </w:p>
          <w:tbl>
            <w:tblPr>
              <w:tblStyle w:val="TableGrid"/>
              <w:tblW w:w="0" w:type="auto"/>
              <w:tblLook w:val="04A0" w:firstRow="1" w:lastRow="0" w:firstColumn="1" w:lastColumn="0" w:noHBand="0" w:noVBand="1"/>
            </w:tblPr>
            <w:tblGrid>
              <w:gridCol w:w="881"/>
              <w:gridCol w:w="881"/>
              <w:gridCol w:w="881"/>
            </w:tblGrid>
            <w:tr w:rsidR="006277AC" w:rsidTr="006277AC">
              <w:tc>
                <w:tcPr>
                  <w:tcW w:w="881" w:type="dxa"/>
                </w:tcPr>
                <w:p w:rsidR="006277AC" w:rsidRPr="006277AC" w:rsidRDefault="006277AC" w:rsidP="006277AC">
                  <w:pPr>
                    <w:jc w:val="center"/>
                    <w:rPr>
                      <w:b/>
                      <w:sz w:val="20"/>
                    </w:rPr>
                  </w:pPr>
                  <w:r w:rsidRPr="006277AC">
                    <w:rPr>
                      <w:b/>
                      <w:sz w:val="20"/>
                    </w:rPr>
                    <w:t>Y1</w:t>
                  </w:r>
                </w:p>
              </w:tc>
              <w:tc>
                <w:tcPr>
                  <w:tcW w:w="881" w:type="dxa"/>
                </w:tcPr>
                <w:p w:rsidR="006277AC" w:rsidRDefault="006277AC" w:rsidP="006277AC">
                  <w:pPr>
                    <w:jc w:val="center"/>
                    <w:rPr>
                      <w:sz w:val="20"/>
                    </w:rPr>
                  </w:pPr>
                  <w:r>
                    <w:rPr>
                      <w:sz w:val="20"/>
                    </w:rPr>
                    <w:t>EP</w:t>
                  </w:r>
                </w:p>
              </w:tc>
              <w:tc>
                <w:tcPr>
                  <w:tcW w:w="881" w:type="dxa"/>
                </w:tcPr>
                <w:p w:rsidR="006277AC" w:rsidRDefault="006277AC" w:rsidP="006277AC">
                  <w:pPr>
                    <w:jc w:val="center"/>
                    <w:rPr>
                      <w:sz w:val="20"/>
                    </w:rPr>
                  </w:pPr>
                  <w:r>
                    <w:rPr>
                      <w:sz w:val="20"/>
                    </w:rPr>
                    <w:t>BEP</w:t>
                  </w:r>
                </w:p>
              </w:tc>
            </w:tr>
            <w:tr w:rsidR="006277AC" w:rsidTr="006277AC">
              <w:tc>
                <w:tcPr>
                  <w:tcW w:w="881" w:type="dxa"/>
                </w:tcPr>
                <w:p w:rsidR="006277AC" w:rsidRDefault="006277AC" w:rsidP="006277AC">
                  <w:pPr>
                    <w:jc w:val="center"/>
                    <w:rPr>
                      <w:sz w:val="20"/>
                    </w:rPr>
                  </w:pPr>
                  <w:r>
                    <w:rPr>
                      <w:sz w:val="20"/>
                    </w:rPr>
                    <w:t>R</w:t>
                  </w:r>
                </w:p>
              </w:tc>
              <w:tc>
                <w:tcPr>
                  <w:tcW w:w="881" w:type="dxa"/>
                </w:tcPr>
                <w:p w:rsidR="006277AC" w:rsidRDefault="006277AC" w:rsidP="006277AC">
                  <w:pPr>
                    <w:jc w:val="center"/>
                    <w:rPr>
                      <w:sz w:val="20"/>
                    </w:rPr>
                  </w:pPr>
                  <w:r>
                    <w:rPr>
                      <w:sz w:val="20"/>
                    </w:rPr>
                    <w:t>100%</w:t>
                  </w:r>
                </w:p>
              </w:tc>
              <w:tc>
                <w:tcPr>
                  <w:tcW w:w="881" w:type="dxa"/>
                </w:tcPr>
                <w:p w:rsidR="006277AC" w:rsidRDefault="005C3E44" w:rsidP="006277AC">
                  <w:pPr>
                    <w:jc w:val="center"/>
                    <w:rPr>
                      <w:sz w:val="20"/>
                    </w:rPr>
                  </w:pPr>
                  <w:r>
                    <w:rPr>
                      <w:sz w:val="20"/>
                    </w:rPr>
                    <w:t>15</w:t>
                  </w:r>
                  <w:r w:rsidR="006277AC">
                    <w:rPr>
                      <w:sz w:val="20"/>
                    </w:rPr>
                    <w:t>%</w:t>
                  </w:r>
                </w:p>
              </w:tc>
            </w:tr>
            <w:tr w:rsidR="006277AC" w:rsidTr="006277AC">
              <w:tc>
                <w:tcPr>
                  <w:tcW w:w="881" w:type="dxa"/>
                </w:tcPr>
                <w:p w:rsidR="006277AC" w:rsidRDefault="006277AC" w:rsidP="006277AC">
                  <w:pPr>
                    <w:jc w:val="center"/>
                    <w:rPr>
                      <w:sz w:val="20"/>
                    </w:rPr>
                  </w:pPr>
                  <w:r>
                    <w:rPr>
                      <w:sz w:val="20"/>
                    </w:rPr>
                    <w:t>W</w:t>
                  </w:r>
                </w:p>
              </w:tc>
              <w:tc>
                <w:tcPr>
                  <w:tcW w:w="881" w:type="dxa"/>
                </w:tcPr>
                <w:p w:rsidR="006277AC" w:rsidRDefault="005C3E44" w:rsidP="006277AC">
                  <w:pPr>
                    <w:jc w:val="center"/>
                    <w:rPr>
                      <w:sz w:val="20"/>
                    </w:rPr>
                  </w:pPr>
                  <w:r>
                    <w:rPr>
                      <w:sz w:val="20"/>
                    </w:rPr>
                    <w:t>100%</w:t>
                  </w:r>
                </w:p>
              </w:tc>
              <w:tc>
                <w:tcPr>
                  <w:tcW w:w="881" w:type="dxa"/>
                </w:tcPr>
                <w:p w:rsidR="006277AC" w:rsidRDefault="005C3E44" w:rsidP="006277AC">
                  <w:pPr>
                    <w:jc w:val="center"/>
                    <w:rPr>
                      <w:sz w:val="20"/>
                    </w:rPr>
                  </w:pPr>
                  <w:r>
                    <w:rPr>
                      <w:sz w:val="20"/>
                    </w:rPr>
                    <w:t>15%</w:t>
                  </w:r>
                </w:p>
              </w:tc>
            </w:tr>
            <w:tr w:rsidR="006277AC" w:rsidTr="006277AC">
              <w:tc>
                <w:tcPr>
                  <w:tcW w:w="881" w:type="dxa"/>
                </w:tcPr>
                <w:p w:rsidR="006277AC" w:rsidRDefault="006277AC" w:rsidP="006277AC">
                  <w:pPr>
                    <w:jc w:val="center"/>
                    <w:rPr>
                      <w:sz w:val="20"/>
                    </w:rPr>
                  </w:pPr>
                  <w:r>
                    <w:rPr>
                      <w:sz w:val="20"/>
                    </w:rPr>
                    <w:t>M</w:t>
                  </w:r>
                </w:p>
              </w:tc>
              <w:tc>
                <w:tcPr>
                  <w:tcW w:w="881" w:type="dxa"/>
                </w:tcPr>
                <w:p w:rsidR="006277AC" w:rsidRDefault="005C3E44" w:rsidP="006277AC">
                  <w:pPr>
                    <w:jc w:val="center"/>
                    <w:rPr>
                      <w:sz w:val="20"/>
                    </w:rPr>
                  </w:pPr>
                  <w:r>
                    <w:rPr>
                      <w:sz w:val="20"/>
                    </w:rPr>
                    <w:t>100%</w:t>
                  </w:r>
                </w:p>
              </w:tc>
              <w:tc>
                <w:tcPr>
                  <w:tcW w:w="881" w:type="dxa"/>
                </w:tcPr>
                <w:p w:rsidR="006277AC" w:rsidRDefault="005C3E44" w:rsidP="006277AC">
                  <w:pPr>
                    <w:jc w:val="center"/>
                    <w:rPr>
                      <w:sz w:val="20"/>
                    </w:rPr>
                  </w:pPr>
                  <w:r>
                    <w:rPr>
                      <w:sz w:val="20"/>
                    </w:rPr>
                    <w:t>23%</w:t>
                  </w:r>
                </w:p>
              </w:tc>
            </w:tr>
          </w:tbl>
          <w:p w:rsidR="006277AC" w:rsidRDefault="006277AC">
            <w:pPr>
              <w:rPr>
                <w:sz w:val="20"/>
              </w:rPr>
            </w:pPr>
          </w:p>
          <w:tbl>
            <w:tblPr>
              <w:tblStyle w:val="TableGrid"/>
              <w:tblW w:w="0" w:type="auto"/>
              <w:tblLook w:val="04A0" w:firstRow="1" w:lastRow="0" w:firstColumn="1" w:lastColumn="0" w:noHBand="0" w:noVBand="1"/>
            </w:tblPr>
            <w:tblGrid>
              <w:gridCol w:w="881"/>
              <w:gridCol w:w="881"/>
              <w:gridCol w:w="881"/>
            </w:tblGrid>
            <w:tr w:rsidR="006277AC" w:rsidTr="005422C5">
              <w:tc>
                <w:tcPr>
                  <w:tcW w:w="881" w:type="dxa"/>
                </w:tcPr>
                <w:p w:rsidR="006277AC" w:rsidRPr="006277AC" w:rsidRDefault="006277AC" w:rsidP="006277AC">
                  <w:pPr>
                    <w:jc w:val="center"/>
                    <w:rPr>
                      <w:b/>
                      <w:sz w:val="20"/>
                    </w:rPr>
                  </w:pPr>
                  <w:r w:rsidRPr="006277AC">
                    <w:rPr>
                      <w:b/>
                      <w:sz w:val="20"/>
                    </w:rPr>
                    <w:t>Y2</w:t>
                  </w:r>
                </w:p>
              </w:tc>
              <w:tc>
                <w:tcPr>
                  <w:tcW w:w="881" w:type="dxa"/>
                </w:tcPr>
                <w:p w:rsidR="006277AC" w:rsidRDefault="006277AC" w:rsidP="006277AC">
                  <w:pPr>
                    <w:jc w:val="center"/>
                    <w:rPr>
                      <w:sz w:val="20"/>
                    </w:rPr>
                  </w:pPr>
                  <w:r>
                    <w:rPr>
                      <w:sz w:val="20"/>
                    </w:rPr>
                    <w:t>EP</w:t>
                  </w:r>
                </w:p>
              </w:tc>
              <w:tc>
                <w:tcPr>
                  <w:tcW w:w="881" w:type="dxa"/>
                </w:tcPr>
                <w:p w:rsidR="006277AC" w:rsidRDefault="006277AC" w:rsidP="006277AC">
                  <w:pPr>
                    <w:jc w:val="center"/>
                    <w:rPr>
                      <w:sz w:val="20"/>
                    </w:rPr>
                  </w:pPr>
                  <w:r>
                    <w:rPr>
                      <w:sz w:val="20"/>
                    </w:rPr>
                    <w:t>BEP</w:t>
                  </w:r>
                </w:p>
              </w:tc>
            </w:tr>
            <w:tr w:rsidR="006277AC" w:rsidTr="005422C5">
              <w:tc>
                <w:tcPr>
                  <w:tcW w:w="881" w:type="dxa"/>
                </w:tcPr>
                <w:p w:rsidR="006277AC" w:rsidRDefault="006277AC" w:rsidP="006277AC">
                  <w:pPr>
                    <w:jc w:val="center"/>
                    <w:rPr>
                      <w:sz w:val="20"/>
                    </w:rPr>
                  </w:pPr>
                  <w:r>
                    <w:rPr>
                      <w:sz w:val="20"/>
                    </w:rPr>
                    <w:t>R</w:t>
                  </w:r>
                </w:p>
              </w:tc>
              <w:tc>
                <w:tcPr>
                  <w:tcW w:w="881" w:type="dxa"/>
                </w:tcPr>
                <w:p w:rsidR="006277AC" w:rsidRDefault="003628E9" w:rsidP="006277AC">
                  <w:pPr>
                    <w:jc w:val="center"/>
                    <w:rPr>
                      <w:sz w:val="20"/>
                    </w:rPr>
                  </w:pPr>
                  <w:r>
                    <w:rPr>
                      <w:sz w:val="20"/>
                    </w:rPr>
                    <w:t>100%</w:t>
                  </w:r>
                </w:p>
              </w:tc>
              <w:tc>
                <w:tcPr>
                  <w:tcW w:w="881" w:type="dxa"/>
                </w:tcPr>
                <w:p w:rsidR="006277AC" w:rsidRDefault="003628E9" w:rsidP="006277AC">
                  <w:pPr>
                    <w:jc w:val="center"/>
                    <w:rPr>
                      <w:sz w:val="20"/>
                    </w:rPr>
                  </w:pPr>
                  <w:r>
                    <w:rPr>
                      <w:sz w:val="20"/>
                    </w:rPr>
                    <w:t>15%</w:t>
                  </w:r>
                </w:p>
              </w:tc>
            </w:tr>
            <w:tr w:rsidR="006277AC" w:rsidTr="005422C5">
              <w:tc>
                <w:tcPr>
                  <w:tcW w:w="881" w:type="dxa"/>
                </w:tcPr>
                <w:p w:rsidR="006277AC" w:rsidRDefault="006277AC" w:rsidP="006277AC">
                  <w:pPr>
                    <w:jc w:val="center"/>
                    <w:rPr>
                      <w:sz w:val="20"/>
                    </w:rPr>
                  </w:pPr>
                  <w:r>
                    <w:rPr>
                      <w:sz w:val="20"/>
                    </w:rPr>
                    <w:t>W</w:t>
                  </w:r>
                </w:p>
              </w:tc>
              <w:tc>
                <w:tcPr>
                  <w:tcW w:w="881" w:type="dxa"/>
                </w:tcPr>
                <w:p w:rsidR="006277AC" w:rsidRDefault="003628E9" w:rsidP="006277AC">
                  <w:pPr>
                    <w:jc w:val="center"/>
                    <w:rPr>
                      <w:sz w:val="20"/>
                    </w:rPr>
                  </w:pPr>
                  <w:r>
                    <w:rPr>
                      <w:sz w:val="20"/>
                    </w:rPr>
                    <w:t>92%</w:t>
                  </w:r>
                </w:p>
              </w:tc>
              <w:tc>
                <w:tcPr>
                  <w:tcW w:w="881" w:type="dxa"/>
                </w:tcPr>
                <w:p w:rsidR="006277AC" w:rsidRDefault="003628E9" w:rsidP="006277AC">
                  <w:pPr>
                    <w:jc w:val="center"/>
                    <w:rPr>
                      <w:sz w:val="20"/>
                    </w:rPr>
                  </w:pPr>
                  <w:r>
                    <w:rPr>
                      <w:sz w:val="20"/>
                    </w:rPr>
                    <w:t>15%</w:t>
                  </w:r>
                </w:p>
              </w:tc>
            </w:tr>
            <w:tr w:rsidR="006277AC" w:rsidTr="005422C5">
              <w:tc>
                <w:tcPr>
                  <w:tcW w:w="881" w:type="dxa"/>
                </w:tcPr>
                <w:p w:rsidR="006277AC" w:rsidRDefault="006277AC" w:rsidP="006277AC">
                  <w:pPr>
                    <w:jc w:val="center"/>
                    <w:rPr>
                      <w:sz w:val="20"/>
                    </w:rPr>
                  </w:pPr>
                  <w:r>
                    <w:rPr>
                      <w:sz w:val="20"/>
                    </w:rPr>
                    <w:t>M</w:t>
                  </w:r>
                </w:p>
              </w:tc>
              <w:tc>
                <w:tcPr>
                  <w:tcW w:w="881" w:type="dxa"/>
                </w:tcPr>
                <w:p w:rsidR="006277AC" w:rsidRDefault="003628E9" w:rsidP="006277AC">
                  <w:pPr>
                    <w:jc w:val="center"/>
                    <w:rPr>
                      <w:sz w:val="20"/>
                    </w:rPr>
                  </w:pPr>
                  <w:r>
                    <w:rPr>
                      <w:sz w:val="20"/>
                    </w:rPr>
                    <w:t>92%</w:t>
                  </w:r>
                </w:p>
              </w:tc>
              <w:tc>
                <w:tcPr>
                  <w:tcW w:w="881" w:type="dxa"/>
                </w:tcPr>
                <w:p w:rsidR="006277AC" w:rsidRDefault="003628E9" w:rsidP="006277AC">
                  <w:pPr>
                    <w:jc w:val="center"/>
                    <w:rPr>
                      <w:sz w:val="20"/>
                    </w:rPr>
                  </w:pPr>
                  <w:r>
                    <w:rPr>
                      <w:sz w:val="20"/>
                    </w:rPr>
                    <w:t>8%</w:t>
                  </w:r>
                </w:p>
              </w:tc>
            </w:tr>
          </w:tbl>
          <w:p w:rsidR="006277AC" w:rsidRDefault="006277AC">
            <w:pPr>
              <w:rPr>
                <w:sz w:val="20"/>
              </w:rPr>
            </w:pPr>
          </w:p>
          <w:p w:rsidR="006277AC" w:rsidRDefault="006277AC">
            <w:pPr>
              <w:rPr>
                <w:sz w:val="20"/>
              </w:rPr>
            </w:pPr>
            <w:r>
              <w:rPr>
                <w:sz w:val="20"/>
              </w:rPr>
              <w:t>Disadvantaged:</w:t>
            </w:r>
          </w:p>
          <w:p w:rsidR="006277AC" w:rsidRDefault="006277AC">
            <w:pPr>
              <w:rPr>
                <w:sz w:val="20"/>
              </w:rPr>
            </w:pPr>
          </w:p>
          <w:tbl>
            <w:tblPr>
              <w:tblStyle w:val="TableGrid"/>
              <w:tblW w:w="0" w:type="auto"/>
              <w:tblLook w:val="04A0" w:firstRow="1" w:lastRow="0" w:firstColumn="1" w:lastColumn="0" w:noHBand="0" w:noVBand="1"/>
            </w:tblPr>
            <w:tblGrid>
              <w:gridCol w:w="881"/>
              <w:gridCol w:w="881"/>
              <w:gridCol w:w="881"/>
            </w:tblGrid>
            <w:tr w:rsidR="003628E9" w:rsidTr="005422C5">
              <w:tc>
                <w:tcPr>
                  <w:tcW w:w="881" w:type="dxa"/>
                </w:tcPr>
                <w:p w:rsidR="003628E9" w:rsidRPr="006277AC" w:rsidRDefault="003628E9" w:rsidP="003628E9">
                  <w:pPr>
                    <w:jc w:val="center"/>
                    <w:rPr>
                      <w:b/>
                      <w:sz w:val="20"/>
                    </w:rPr>
                  </w:pPr>
                  <w:r w:rsidRPr="006277AC">
                    <w:rPr>
                      <w:b/>
                      <w:sz w:val="20"/>
                    </w:rPr>
                    <w:t>Y1</w:t>
                  </w:r>
                </w:p>
              </w:tc>
              <w:tc>
                <w:tcPr>
                  <w:tcW w:w="881" w:type="dxa"/>
                </w:tcPr>
                <w:p w:rsidR="003628E9" w:rsidRDefault="003628E9" w:rsidP="003628E9">
                  <w:pPr>
                    <w:jc w:val="center"/>
                    <w:rPr>
                      <w:sz w:val="20"/>
                    </w:rPr>
                  </w:pPr>
                  <w:r>
                    <w:rPr>
                      <w:sz w:val="20"/>
                    </w:rPr>
                    <w:t>EP</w:t>
                  </w:r>
                </w:p>
              </w:tc>
              <w:tc>
                <w:tcPr>
                  <w:tcW w:w="881" w:type="dxa"/>
                </w:tcPr>
                <w:p w:rsidR="003628E9" w:rsidRDefault="003628E9" w:rsidP="003628E9">
                  <w:pPr>
                    <w:jc w:val="center"/>
                    <w:rPr>
                      <w:sz w:val="20"/>
                    </w:rPr>
                  </w:pPr>
                  <w:r>
                    <w:rPr>
                      <w:sz w:val="20"/>
                    </w:rPr>
                    <w:t>BEP</w:t>
                  </w:r>
                </w:p>
              </w:tc>
            </w:tr>
            <w:tr w:rsidR="003628E9" w:rsidTr="005422C5">
              <w:tc>
                <w:tcPr>
                  <w:tcW w:w="881" w:type="dxa"/>
                </w:tcPr>
                <w:p w:rsidR="003628E9" w:rsidRDefault="003628E9" w:rsidP="003628E9">
                  <w:pPr>
                    <w:jc w:val="center"/>
                    <w:rPr>
                      <w:sz w:val="20"/>
                    </w:rPr>
                  </w:pPr>
                  <w:r>
                    <w:rPr>
                      <w:sz w:val="20"/>
                    </w:rPr>
                    <w:t>R</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60%</w:t>
                  </w:r>
                </w:p>
              </w:tc>
            </w:tr>
            <w:tr w:rsidR="003628E9" w:rsidTr="005422C5">
              <w:tc>
                <w:tcPr>
                  <w:tcW w:w="881" w:type="dxa"/>
                </w:tcPr>
                <w:p w:rsidR="003628E9" w:rsidRDefault="003628E9" w:rsidP="003628E9">
                  <w:pPr>
                    <w:jc w:val="center"/>
                    <w:rPr>
                      <w:sz w:val="20"/>
                    </w:rPr>
                  </w:pPr>
                  <w:r>
                    <w:rPr>
                      <w:sz w:val="20"/>
                    </w:rPr>
                    <w:t>W</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60%</w:t>
                  </w:r>
                </w:p>
              </w:tc>
            </w:tr>
            <w:tr w:rsidR="003628E9" w:rsidTr="005422C5">
              <w:tc>
                <w:tcPr>
                  <w:tcW w:w="881" w:type="dxa"/>
                </w:tcPr>
                <w:p w:rsidR="003628E9" w:rsidRDefault="003628E9" w:rsidP="003628E9">
                  <w:pPr>
                    <w:jc w:val="center"/>
                    <w:rPr>
                      <w:sz w:val="20"/>
                    </w:rPr>
                  </w:pPr>
                  <w:r>
                    <w:rPr>
                      <w:sz w:val="20"/>
                    </w:rPr>
                    <w:t>M</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80%</w:t>
                  </w:r>
                </w:p>
              </w:tc>
            </w:tr>
          </w:tbl>
          <w:p w:rsidR="003628E9" w:rsidRDefault="003628E9">
            <w:pPr>
              <w:rPr>
                <w:sz w:val="20"/>
              </w:rPr>
            </w:pPr>
          </w:p>
          <w:tbl>
            <w:tblPr>
              <w:tblStyle w:val="TableGrid"/>
              <w:tblW w:w="0" w:type="auto"/>
              <w:tblLook w:val="04A0" w:firstRow="1" w:lastRow="0" w:firstColumn="1" w:lastColumn="0" w:noHBand="0" w:noVBand="1"/>
            </w:tblPr>
            <w:tblGrid>
              <w:gridCol w:w="881"/>
              <w:gridCol w:w="881"/>
              <w:gridCol w:w="881"/>
            </w:tblGrid>
            <w:tr w:rsidR="003628E9" w:rsidTr="005422C5">
              <w:tc>
                <w:tcPr>
                  <w:tcW w:w="881" w:type="dxa"/>
                </w:tcPr>
                <w:p w:rsidR="003628E9" w:rsidRPr="006277AC" w:rsidRDefault="003628E9" w:rsidP="003628E9">
                  <w:pPr>
                    <w:jc w:val="center"/>
                    <w:rPr>
                      <w:b/>
                      <w:sz w:val="20"/>
                    </w:rPr>
                  </w:pPr>
                  <w:r w:rsidRPr="006277AC">
                    <w:rPr>
                      <w:b/>
                      <w:sz w:val="20"/>
                    </w:rPr>
                    <w:t>Y1</w:t>
                  </w:r>
                </w:p>
              </w:tc>
              <w:tc>
                <w:tcPr>
                  <w:tcW w:w="881" w:type="dxa"/>
                </w:tcPr>
                <w:p w:rsidR="003628E9" w:rsidRDefault="003628E9" w:rsidP="003628E9">
                  <w:pPr>
                    <w:jc w:val="center"/>
                    <w:rPr>
                      <w:sz w:val="20"/>
                    </w:rPr>
                  </w:pPr>
                  <w:r>
                    <w:rPr>
                      <w:sz w:val="20"/>
                    </w:rPr>
                    <w:t>EP</w:t>
                  </w:r>
                </w:p>
              </w:tc>
              <w:tc>
                <w:tcPr>
                  <w:tcW w:w="881" w:type="dxa"/>
                </w:tcPr>
                <w:p w:rsidR="003628E9" w:rsidRDefault="003628E9" w:rsidP="003628E9">
                  <w:pPr>
                    <w:jc w:val="center"/>
                    <w:rPr>
                      <w:sz w:val="20"/>
                    </w:rPr>
                  </w:pPr>
                  <w:r>
                    <w:rPr>
                      <w:sz w:val="20"/>
                    </w:rPr>
                    <w:t>BEP</w:t>
                  </w:r>
                </w:p>
              </w:tc>
            </w:tr>
            <w:tr w:rsidR="003628E9" w:rsidTr="005422C5">
              <w:tc>
                <w:tcPr>
                  <w:tcW w:w="881" w:type="dxa"/>
                </w:tcPr>
                <w:p w:rsidR="003628E9" w:rsidRDefault="003628E9" w:rsidP="003628E9">
                  <w:pPr>
                    <w:jc w:val="center"/>
                    <w:rPr>
                      <w:sz w:val="20"/>
                    </w:rPr>
                  </w:pPr>
                  <w:r>
                    <w:rPr>
                      <w:sz w:val="20"/>
                    </w:rPr>
                    <w:t>R</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29%</w:t>
                  </w:r>
                </w:p>
              </w:tc>
            </w:tr>
            <w:tr w:rsidR="003628E9" w:rsidTr="005422C5">
              <w:tc>
                <w:tcPr>
                  <w:tcW w:w="881" w:type="dxa"/>
                </w:tcPr>
                <w:p w:rsidR="003628E9" w:rsidRDefault="003628E9" w:rsidP="003628E9">
                  <w:pPr>
                    <w:jc w:val="center"/>
                    <w:rPr>
                      <w:sz w:val="20"/>
                    </w:rPr>
                  </w:pPr>
                  <w:r>
                    <w:rPr>
                      <w:sz w:val="20"/>
                    </w:rPr>
                    <w:t>W</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29%</w:t>
                  </w:r>
                </w:p>
              </w:tc>
            </w:tr>
            <w:tr w:rsidR="003628E9" w:rsidTr="005422C5">
              <w:tc>
                <w:tcPr>
                  <w:tcW w:w="881" w:type="dxa"/>
                </w:tcPr>
                <w:p w:rsidR="003628E9" w:rsidRDefault="003628E9" w:rsidP="003628E9">
                  <w:pPr>
                    <w:jc w:val="center"/>
                    <w:rPr>
                      <w:sz w:val="20"/>
                    </w:rPr>
                  </w:pPr>
                  <w:r>
                    <w:rPr>
                      <w:sz w:val="20"/>
                    </w:rPr>
                    <w:t>M</w:t>
                  </w:r>
                </w:p>
              </w:tc>
              <w:tc>
                <w:tcPr>
                  <w:tcW w:w="881" w:type="dxa"/>
                </w:tcPr>
                <w:p w:rsidR="003628E9" w:rsidRDefault="003628E9" w:rsidP="003628E9">
                  <w:pPr>
                    <w:jc w:val="center"/>
                    <w:rPr>
                      <w:sz w:val="20"/>
                    </w:rPr>
                  </w:pPr>
                  <w:r>
                    <w:rPr>
                      <w:sz w:val="20"/>
                    </w:rPr>
                    <w:t>100%</w:t>
                  </w:r>
                </w:p>
              </w:tc>
              <w:tc>
                <w:tcPr>
                  <w:tcW w:w="881" w:type="dxa"/>
                </w:tcPr>
                <w:p w:rsidR="003628E9" w:rsidRDefault="003628E9" w:rsidP="003628E9">
                  <w:pPr>
                    <w:jc w:val="center"/>
                    <w:rPr>
                      <w:sz w:val="20"/>
                    </w:rPr>
                  </w:pPr>
                  <w:r>
                    <w:rPr>
                      <w:sz w:val="20"/>
                    </w:rPr>
                    <w:t>0%</w:t>
                  </w:r>
                </w:p>
              </w:tc>
            </w:tr>
          </w:tbl>
          <w:p w:rsidR="006277AC" w:rsidRPr="00A759D1" w:rsidRDefault="006277AC">
            <w:pPr>
              <w:rPr>
                <w:sz w:val="20"/>
              </w:rPr>
            </w:pPr>
          </w:p>
        </w:tc>
        <w:tc>
          <w:tcPr>
            <w:tcW w:w="1231" w:type="dxa"/>
          </w:tcPr>
          <w:p w:rsidR="003147DE" w:rsidRDefault="00497C5C" w:rsidP="00497C5C">
            <w:pPr>
              <w:jc w:val="center"/>
            </w:pPr>
            <w:r>
              <w:t>YES</w:t>
            </w:r>
          </w:p>
        </w:tc>
      </w:tr>
      <w:tr w:rsidR="00DB4EB8" w:rsidTr="00FD5695">
        <w:tc>
          <w:tcPr>
            <w:tcW w:w="2183" w:type="dxa"/>
          </w:tcPr>
          <w:p w:rsidR="00473E95" w:rsidRDefault="00473E95"/>
        </w:tc>
        <w:tc>
          <w:tcPr>
            <w:tcW w:w="2132" w:type="dxa"/>
          </w:tcPr>
          <w:p w:rsidR="00473E95" w:rsidRDefault="00E73000">
            <w:r>
              <w:t>1:1 tuition for year 6 pupils who were below age-related in year 2 but have t</w:t>
            </w:r>
            <w:r w:rsidR="004223C6">
              <w:t>he potential to be AR in year 6 in reading and maths.</w:t>
            </w:r>
          </w:p>
          <w:p w:rsidR="004223C6" w:rsidRDefault="004223C6"/>
          <w:p w:rsidR="004223C6" w:rsidRDefault="004223C6">
            <w:r>
              <w:t xml:space="preserve">These will be intervention sessions delivered by a qualified teacher. </w:t>
            </w:r>
          </w:p>
        </w:tc>
        <w:tc>
          <w:tcPr>
            <w:tcW w:w="1115" w:type="dxa"/>
          </w:tcPr>
          <w:p w:rsidR="00473E95" w:rsidRDefault="001843D9" w:rsidP="00DB4EB8">
            <w:pPr>
              <w:jc w:val="center"/>
            </w:pPr>
            <w:r>
              <w:t>£2200</w:t>
            </w:r>
          </w:p>
        </w:tc>
        <w:tc>
          <w:tcPr>
            <w:tcW w:w="1224" w:type="dxa"/>
          </w:tcPr>
          <w:p w:rsidR="00DB4EB8" w:rsidRDefault="00E73000" w:rsidP="00DB4EB8">
            <w:pPr>
              <w:jc w:val="center"/>
            </w:pPr>
            <w:r>
              <w:t>4</w:t>
            </w:r>
          </w:p>
        </w:tc>
        <w:tc>
          <w:tcPr>
            <w:tcW w:w="1817" w:type="dxa"/>
          </w:tcPr>
          <w:p w:rsidR="00DB4EB8" w:rsidRDefault="00946CEB" w:rsidP="00DB4EB8">
            <w:r>
              <w:t>James Hartmann</w:t>
            </w:r>
          </w:p>
          <w:p w:rsidR="00946CEB" w:rsidRDefault="00946CEB" w:rsidP="00DB4EB8">
            <w:r>
              <w:t>(Assistant Head)</w:t>
            </w:r>
          </w:p>
        </w:tc>
        <w:tc>
          <w:tcPr>
            <w:tcW w:w="1949" w:type="dxa"/>
          </w:tcPr>
          <w:p w:rsidR="00473E95" w:rsidRDefault="005E3A0F">
            <w:r>
              <w:t>SATs scores (including practice)</w:t>
            </w:r>
          </w:p>
          <w:p w:rsidR="005E3A0F" w:rsidRDefault="005E3A0F">
            <w:r>
              <w:t>Pupil progress meetings</w:t>
            </w:r>
          </w:p>
          <w:p w:rsidR="005E3A0F" w:rsidRDefault="005E3A0F">
            <w:r>
              <w:t>PIRA/PUMA scores</w:t>
            </w:r>
          </w:p>
          <w:p w:rsidR="00FD5695" w:rsidRDefault="00FD5695">
            <w:r>
              <w:t>Pupil books</w:t>
            </w:r>
          </w:p>
        </w:tc>
        <w:tc>
          <w:tcPr>
            <w:tcW w:w="2869" w:type="dxa"/>
          </w:tcPr>
          <w:p w:rsidR="00473E95" w:rsidRDefault="00683CEB" w:rsidP="00683CEB">
            <w:pPr>
              <w:rPr>
                <w:sz w:val="20"/>
              </w:rPr>
            </w:pPr>
            <w:r>
              <w:rPr>
                <w:sz w:val="20"/>
              </w:rPr>
              <w:t>Of the 4 pupils who benefitted from 1:1 targeted support in reading, 1 achieved ARE, representing 25%.</w:t>
            </w:r>
          </w:p>
          <w:p w:rsidR="00683CEB" w:rsidRDefault="00683CEB" w:rsidP="00683CEB">
            <w:pPr>
              <w:rPr>
                <w:sz w:val="20"/>
              </w:rPr>
            </w:pPr>
            <w:r>
              <w:rPr>
                <w:sz w:val="20"/>
              </w:rPr>
              <w:t>In terms of progress from starting point:</w:t>
            </w:r>
          </w:p>
          <w:p w:rsidR="00683CEB" w:rsidRDefault="00683CEB" w:rsidP="00683CEB">
            <w:pPr>
              <w:rPr>
                <w:sz w:val="20"/>
              </w:rPr>
            </w:pPr>
            <w:r>
              <w:rPr>
                <w:sz w:val="20"/>
              </w:rPr>
              <w:t xml:space="preserve">Child 1 = </w:t>
            </w:r>
            <w:r w:rsidRPr="00683CEB">
              <w:rPr>
                <w:sz w:val="20"/>
                <w:highlight w:val="green"/>
              </w:rPr>
              <w:t>+5.34</w:t>
            </w:r>
          </w:p>
          <w:p w:rsidR="00683CEB" w:rsidRDefault="00683CEB" w:rsidP="00683CEB">
            <w:pPr>
              <w:rPr>
                <w:sz w:val="20"/>
              </w:rPr>
            </w:pPr>
            <w:r>
              <w:rPr>
                <w:sz w:val="20"/>
              </w:rPr>
              <w:t xml:space="preserve">Child 2 = </w:t>
            </w:r>
            <w:r w:rsidRPr="00683CEB">
              <w:rPr>
                <w:sz w:val="20"/>
                <w:highlight w:val="red"/>
              </w:rPr>
              <w:t>-2.11</w:t>
            </w:r>
          </w:p>
          <w:p w:rsidR="00683CEB" w:rsidRDefault="00683CEB" w:rsidP="00683CEB">
            <w:pPr>
              <w:rPr>
                <w:sz w:val="20"/>
              </w:rPr>
            </w:pPr>
            <w:r>
              <w:rPr>
                <w:sz w:val="20"/>
              </w:rPr>
              <w:t xml:space="preserve">Child 3 = </w:t>
            </w:r>
            <w:r w:rsidRPr="00683CEB">
              <w:rPr>
                <w:sz w:val="20"/>
                <w:highlight w:val="red"/>
              </w:rPr>
              <w:t>-4.93</w:t>
            </w:r>
          </w:p>
          <w:p w:rsidR="00683CEB" w:rsidRPr="00497C5C" w:rsidRDefault="00683CEB" w:rsidP="00683CEB">
            <w:pPr>
              <w:rPr>
                <w:sz w:val="20"/>
              </w:rPr>
            </w:pPr>
            <w:r>
              <w:rPr>
                <w:sz w:val="20"/>
              </w:rPr>
              <w:t xml:space="preserve">Child 4 = </w:t>
            </w:r>
            <w:r w:rsidRPr="00683CEB">
              <w:rPr>
                <w:sz w:val="20"/>
                <w:highlight w:val="green"/>
              </w:rPr>
              <w:t>+0.19</w:t>
            </w:r>
          </w:p>
        </w:tc>
        <w:tc>
          <w:tcPr>
            <w:tcW w:w="1231" w:type="dxa"/>
          </w:tcPr>
          <w:p w:rsidR="00473E95" w:rsidRDefault="00683CEB" w:rsidP="00683CEB">
            <w:pPr>
              <w:jc w:val="center"/>
            </w:pPr>
            <w:r>
              <w:t>NO</w:t>
            </w:r>
          </w:p>
        </w:tc>
      </w:tr>
      <w:tr w:rsidR="00DB4EB8" w:rsidTr="00FD5695">
        <w:tc>
          <w:tcPr>
            <w:tcW w:w="2183" w:type="dxa"/>
          </w:tcPr>
          <w:p w:rsidR="00473E95" w:rsidRDefault="00473E95"/>
        </w:tc>
        <w:tc>
          <w:tcPr>
            <w:tcW w:w="2132" w:type="dxa"/>
          </w:tcPr>
          <w:p w:rsidR="004223C6" w:rsidRDefault="004223C6">
            <w:r>
              <w:t>All books in current library will be replaced with more up-to-date, engaging reading material.</w:t>
            </w:r>
          </w:p>
          <w:p w:rsidR="004223C6" w:rsidRDefault="004223C6"/>
          <w:p w:rsidR="004223C6" w:rsidRDefault="004223C6">
            <w:r>
              <w:t>The library will be refurbed to include soft reading areas.</w:t>
            </w:r>
          </w:p>
          <w:p w:rsidR="004223C6" w:rsidRDefault="004223C6"/>
          <w:p w:rsidR="004223C6" w:rsidRDefault="004223C6">
            <w:r>
              <w:t>UKS2 children will be trained to become ‘librarians’ and lead this for other pupils in the school.</w:t>
            </w:r>
          </w:p>
        </w:tc>
        <w:tc>
          <w:tcPr>
            <w:tcW w:w="1115" w:type="dxa"/>
          </w:tcPr>
          <w:p w:rsidR="00473E95" w:rsidRDefault="001843D9" w:rsidP="00DB4EB8">
            <w:pPr>
              <w:jc w:val="center"/>
            </w:pPr>
            <w:r>
              <w:t>£2000</w:t>
            </w:r>
          </w:p>
        </w:tc>
        <w:tc>
          <w:tcPr>
            <w:tcW w:w="1224" w:type="dxa"/>
          </w:tcPr>
          <w:p w:rsidR="00473E95" w:rsidRDefault="00946CEB" w:rsidP="00946CEB">
            <w:pPr>
              <w:jc w:val="center"/>
            </w:pPr>
            <w:r>
              <w:t>58</w:t>
            </w:r>
          </w:p>
        </w:tc>
        <w:tc>
          <w:tcPr>
            <w:tcW w:w="1817" w:type="dxa"/>
          </w:tcPr>
          <w:p w:rsidR="00473E95" w:rsidRDefault="00946CEB">
            <w:r>
              <w:t xml:space="preserve">Louise </w:t>
            </w:r>
            <w:proofErr w:type="spellStart"/>
            <w:r>
              <w:t>Massam</w:t>
            </w:r>
            <w:proofErr w:type="spellEnd"/>
          </w:p>
          <w:p w:rsidR="00946CEB" w:rsidRDefault="00946CEB">
            <w:r>
              <w:t>(Literacy Leader)</w:t>
            </w:r>
          </w:p>
        </w:tc>
        <w:tc>
          <w:tcPr>
            <w:tcW w:w="1949" w:type="dxa"/>
          </w:tcPr>
          <w:p w:rsidR="00473E95" w:rsidRDefault="005E3A0F">
            <w:r>
              <w:t>% of pupils home/school reading</w:t>
            </w:r>
          </w:p>
          <w:p w:rsidR="005E3A0F" w:rsidRDefault="005E3A0F">
            <w:r>
              <w:t>% pupils taking books out of the library</w:t>
            </w:r>
          </w:p>
          <w:p w:rsidR="005E3A0F" w:rsidRDefault="005E3A0F">
            <w:r>
              <w:t>ARE and above at Y2/Y6</w:t>
            </w:r>
          </w:p>
          <w:p w:rsidR="00FD5695" w:rsidRDefault="00FD5695">
            <w:r>
              <w:t>Pupil books</w:t>
            </w:r>
          </w:p>
        </w:tc>
        <w:tc>
          <w:tcPr>
            <w:tcW w:w="2869" w:type="dxa"/>
          </w:tcPr>
          <w:p w:rsidR="00473E95" w:rsidRDefault="00683CEB">
            <w:pPr>
              <w:rPr>
                <w:sz w:val="20"/>
              </w:rPr>
            </w:pPr>
            <w:r>
              <w:rPr>
                <w:sz w:val="20"/>
              </w:rPr>
              <w:t>Unfortunately, due to staffing issues with the library service, this project has taken much longer than has been anticipated.</w:t>
            </w:r>
          </w:p>
          <w:p w:rsidR="00683CEB" w:rsidRDefault="00683CEB">
            <w:pPr>
              <w:rPr>
                <w:sz w:val="20"/>
              </w:rPr>
            </w:pPr>
            <w:r>
              <w:rPr>
                <w:sz w:val="20"/>
              </w:rPr>
              <w:t>We are now awaiting the return of all books, which were removed for cataloguing and the new electronic system to be installed.</w:t>
            </w:r>
          </w:p>
          <w:p w:rsidR="00683CEB" w:rsidRPr="00683CEB" w:rsidRDefault="00683CEB">
            <w:pPr>
              <w:rPr>
                <w:sz w:val="20"/>
              </w:rPr>
            </w:pPr>
            <w:r>
              <w:rPr>
                <w:sz w:val="20"/>
              </w:rPr>
              <w:t>The system has been purchased as per the allocated budget and we anticipate that the system and books will be ready for use by pupils from October.</w:t>
            </w:r>
          </w:p>
        </w:tc>
        <w:tc>
          <w:tcPr>
            <w:tcW w:w="1231" w:type="dxa"/>
          </w:tcPr>
          <w:p w:rsidR="00473E95" w:rsidRDefault="00683CEB" w:rsidP="00683CEB">
            <w:pPr>
              <w:jc w:val="center"/>
            </w:pPr>
            <w:r>
              <w:t>NO</w:t>
            </w:r>
          </w:p>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 xml:space="preserve">Targeted support </w:t>
            </w:r>
          </w:p>
        </w:tc>
      </w:tr>
      <w:tr w:rsidR="00DB4EB8" w:rsidTr="00FD5695">
        <w:tc>
          <w:tcPr>
            <w:tcW w:w="2183" w:type="dxa"/>
          </w:tcPr>
          <w:p w:rsidR="00473E95" w:rsidRDefault="00FD5695">
            <w:r>
              <w:t>Increase a</w:t>
            </w:r>
            <w:r w:rsidR="00BC4980">
              <w:t>ttendance and punctuality and reduce persistent absence of disadvantage</w:t>
            </w:r>
            <w:r>
              <w:t>d</w:t>
            </w:r>
            <w:r w:rsidR="00BC4980">
              <w:t xml:space="preserve"> pupils.</w:t>
            </w:r>
          </w:p>
        </w:tc>
        <w:tc>
          <w:tcPr>
            <w:tcW w:w="2132" w:type="dxa"/>
          </w:tcPr>
          <w:p w:rsidR="00473E95" w:rsidRDefault="004223C6">
            <w:r>
              <w:t>Whole school attendance incentive will be a cash reward for each class, ranging from £30 to £2.  Highest class attendance for the week receives £30, with the lowest receiving £2.  This cash amount is collected over the course of the year and, at the end of the year, the children choose what trip to spend their money on.</w:t>
            </w:r>
          </w:p>
          <w:p w:rsidR="00BC4980" w:rsidRDefault="00BC4980"/>
          <w:p w:rsidR="00BC4980" w:rsidRDefault="004223C6">
            <w:r>
              <w:t>Children with 100% attendance for the week get their name in a box and each half-term, names are drawn out to win a prize, which could include family tickets to the cinema or bowling etc.</w:t>
            </w:r>
          </w:p>
          <w:p w:rsidR="00BC4980" w:rsidRDefault="00BC4980"/>
        </w:tc>
        <w:tc>
          <w:tcPr>
            <w:tcW w:w="1115" w:type="dxa"/>
          </w:tcPr>
          <w:p w:rsidR="00BC4980" w:rsidRDefault="001843D9" w:rsidP="00DB4EB8">
            <w:pPr>
              <w:jc w:val="center"/>
            </w:pPr>
            <w:r>
              <w:t>£4000</w:t>
            </w:r>
          </w:p>
        </w:tc>
        <w:tc>
          <w:tcPr>
            <w:tcW w:w="1224" w:type="dxa"/>
          </w:tcPr>
          <w:p w:rsidR="00DE322A" w:rsidRDefault="00946CEB" w:rsidP="007412EC">
            <w:pPr>
              <w:jc w:val="center"/>
            </w:pPr>
            <w:r>
              <w:t>58</w:t>
            </w:r>
          </w:p>
        </w:tc>
        <w:tc>
          <w:tcPr>
            <w:tcW w:w="1817" w:type="dxa"/>
          </w:tcPr>
          <w:p w:rsidR="007412EC" w:rsidRDefault="00946CEB" w:rsidP="007412EC">
            <w:r>
              <w:t xml:space="preserve">Helen </w:t>
            </w:r>
            <w:proofErr w:type="spellStart"/>
            <w:r>
              <w:t>Ellerton</w:t>
            </w:r>
            <w:proofErr w:type="spellEnd"/>
          </w:p>
          <w:p w:rsidR="00946CEB" w:rsidRDefault="00946CEB" w:rsidP="007412EC">
            <w:r>
              <w:t>(Attendance officer)</w:t>
            </w:r>
          </w:p>
        </w:tc>
        <w:tc>
          <w:tcPr>
            <w:tcW w:w="1949" w:type="dxa"/>
          </w:tcPr>
          <w:p w:rsidR="00473E95" w:rsidRDefault="005E3A0F">
            <w:r>
              <w:t>Attendance figures at the end of each term</w:t>
            </w:r>
          </w:p>
          <w:p w:rsidR="005E3A0F" w:rsidRDefault="005E3A0F">
            <w:r>
              <w:t>% of PA reducing</w:t>
            </w:r>
          </w:p>
        </w:tc>
        <w:tc>
          <w:tcPr>
            <w:tcW w:w="2869" w:type="dxa"/>
          </w:tcPr>
          <w:p w:rsidR="00473E95" w:rsidRDefault="001341EB">
            <w:pPr>
              <w:rPr>
                <w:sz w:val="20"/>
              </w:rPr>
            </w:pPr>
            <w:r>
              <w:rPr>
                <w:sz w:val="20"/>
              </w:rPr>
              <w:t>Overall whole school attendance for the year increased from 95.4% to 95.6%.  This is still below our target of 96.1%.</w:t>
            </w:r>
          </w:p>
          <w:p w:rsidR="001341EB" w:rsidRDefault="001341EB">
            <w:pPr>
              <w:rPr>
                <w:sz w:val="20"/>
              </w:rPr>
            </w:pPr>
          </w:p>
          <w:p w:rsidR="000834B2" w:rsidRDefault="000834B2">
            <w:pPr>
              <w:rPr>
                <w:sz w:val="20"/>
              </w:rPr>
            </w:pPr>
            <w:r>
              <w:rPr>
                <w:sz w:val="20"/>
              </w:rPr>
              <w:t xml:space="preserve">Disadvantaged attendance for 2017/18 = </w:t>
            </w:r>
            <w:r w:rsidR="001341EB" w:rsidRPr="001341EB">
              <w:rPr>
                <w:sz w:val="20"/>
                <w:highlight w:val="red"/>
              </w:rPr>
              <w:t>93.39</w:t>
            </w:r>
          </w:p>
          <w:p w:rsidR="000834B2" w:rsidRDefault="000834B2">
            <w:pPr>
              <w:rPr>
                <w:sz w:val="20"/>
              </w:rPr>
            </w:pPr>
            <w:r>
              <w:rPr>
                <w:sz w:val="20"/>
              </w:rPr>
              <w:t xml:space="preserve">Disadvantaged attendance for 2016/17 = </w:t>
            </w:r>
            <w:r w:rsidR="001341EB">
              <w:rPr>
                <w:sz w:val="20"/>
              </w:rPr>
              <w:t>94.6</w:t>
            </w:r>
          </w:p>
          <w:p w:rsidR="000834B2" w:rsidRDefault="000834B2">
            <w:pPr>
              <w:rPr>
                <w:sz w:val="20"/>
              </w:rPr>
            </w:pPr>
          </w:p>
          <w:p w:rsidR="000834B2" w:rsidRDefault="000834B2">
            <w:pPr>
              <w:rPr>
                <w:sz w:val="20"/>
              </w:rPr>
            </w:pPr>
            <w:r>
              <w:rPr>
                <w:sz w:val="20"/>
              </w:rPr>
              <w:t>This shows a</w:t>
            </w:r>
            <w:r w:rsidR="001341EB">
              <w:rPr>
                <w:sz w:val="20"/>
              </w:rPr>
              <w:t xml:space="preserve"> decrease of </w:t>
            </w:r>
            <w:r w:rsidR="001341EB" w:rsidRPr="001341EB">
              <w:rPr>
                <w:sz w:val="20"/>
                <w:highlight w:val="red"/>
              </w:rPr>
              <w:t>1.2%</w:t>
            </w:r>
            <w:r w:rsidR="001341EB">
              <w:rPr>
                <w:sz w:val="20"/>
              </w:rPr>
              <w:t>. Although disappointing overall, there are positive elements:</w:t>
            </w:r>
          </w:p>
          <w:p w:rsidR="001341EB" w:rsidRDefault="001341EB">
            <w:pPr>
              <w:rPr>
                <w:sz w:val="20"/>
              </w:rPr>
            </w:pPr>
            <w:r>
              <w:rPr>
                <w:sz w:val="20"/>
              </w:rPr>
              <w:t>The punctuality of disadvantaged pupils was significantly better.  In 16/17 disadvantaged pupils accounted for 26.5% of all lateness, whereas in 17/18, this fell to 14.4%.</w:t>
            </w:r>
          </w:p>
          <w:p w:rsidR="001341EB" w:rsidRDefault="001341EB">
            <w:pPr>
              <w:rPr>
                <w:sz w:val="20"/>
              </w:rPr>
            </w:pPr>
          </w:p>
          <w:p w:rsidR="001341EB" w:rsidRDefault="001341EB">
            <w:pPr>
              <w:rPr>
                <w:sz w:val="20"/>
              </w:rPr>
            </w:pPr>
            <w:r>
              <w:rPr>
                <w:sz w:val="20"/>
              </w:rPr>
              <w:t>Persistent absence amongst disadvantaged pupils still requires targeting next year as there was a significant increase in disadvantaged pupils being persistently absent; it rose from 7.2% in 16/17 to 18% in 17/18.</w:t>
            </w:r>
          </w:p>
          <w:p w:rsidR="00CD5734" w:rsidRDefault="001341EB">
            <w:pPr>
              <w:rPr>
                <w:sz w:val="20"/>
              </w:rPr>
            </w:pPr>
            <w:r>
              <w:rPr>
                <w:sz w:val="20"/>
              </w:rPr>
              <w:t>Part of this can be attributed to the fact that overall school PA reduced from</w:t>
            </w:r>
            <w:r w:rsidR="003A3D4A">
              <w:rPr>
                <w:sz w:val="20"/>
              </w:rPr>
              <w:t xml:space="preserve"> 8.5% (16/17)</w:t>
            </w:r>
            <w:r w:rsidR="00CC40F2">
              <w:rPr>
                <w:sz w:val="20"/>
              </w:rPr>
              <w:t xml:space="preserve"> to 6%</w:t>
            </w:r>
            <w:r w:rsidR="003A3D4A">
              <w:rPr>
                <w:sz w:val="20"/>
              </w:rPr>
              <w:t xml:space="preserve"> (17/18)</w:t>
            </w:r>
            <w:r>
              <w:rPr>
                <w:sz w:val="20"/>
              </w:rPr>
              <w:t xml:space="preserve"> </w:t>
            </w:r>
            <w:r w:rsidR="00CC40F2">
              <w:rPr>
                <w:sz w:val="20"/>
              </w:rPr>
              <w:t>and therefore, each disadvantaged child will have accounted for a higher percentage.</w:t>
            </w:r>
          </w:p>
          <w:p w:rsidR="001341EB" w:rsidRPr="00683CEB" w:rsidRDefault="001341EB">
            <w:pPr>
              <w:rPr>
                <w:sz w:val="20"/>
              </w:rPr>
            </w:pPr>
          </w:p>
        </w:tc>
        <w:tc>
          <w:tcPr>
            <w:tcW w:w="1231" w:type="dxa"/>
          </w:tcPr>
          <w:p w:rsidR="00473E95" w:rsidRDefault="000834B2" w:rsidP="000834B2">
            <w:pPr>
              <w:jc w:val="center"/>
            </w:pPr>
            <w:r>
              <w:t>YES</w:t>
            </w:r>
          </w:p>
          <w:p w:rsidR="000834B2" w:rsidRDefault="000834B2" w:rsidP="000834B2">
            <w:pPr>
              <w:jc w:val="center"/>
            </w:pPr>
            <w:r>
              <w:t>(although this will be in a different format with less money allocated)</w:t>
            </w:r>
          </w:p>
        </w:tc>
      </w:tr>
      <w:tr w:rsidR="00DB4EB8" w:rsidTr="00FD5695">
        <w:trPr>
          <w:trHeight w:val="1160"/>
        </w:trPr>
        <w:tc>
          <w:tcPr>
            <w:tcW w:w="2183" w:type="dxa"/>
          </w:tcPr>
          <w:p w:rsidR="00473E95" w:rsidRDefault="00473E95" w:rsidP="00BB6343"/>
        </w:tc>
        <w:tc>
          <w:tcPr>
            <w:tcW w:w="2132" w:type="dxa"/>
          </w:tcPr>
          <w:p w:rsidR="00BC4980" w:rsidRDefault="00BC4980" w:rsidP="00BC4980">
            <w:r>
              <w:t>Free breakfast club for</w:t>
            </w:r>
            <w:r w:rsidR="001843D9">
              <w:t xml:space="preserve"> all</w:t>
            </w:r>
            <w:r w:rsidR="004223C6">
              <w:t xml:space="preserve"> disadvantaged pupils – this includes breakfast and activities.</w:t>
            </w:r>
          </w:p>
          <w:p w:rsidR="007412EC" w:rsidRDefault="007412EC" w:rsidP="00BB6343"/>
        </w:tc>
        <w:tc>
          <w:tcPr>
            <w:tcW w:w="1115" w:type="dxa"/>
          </w:tcPr>
          <w:p w:rsidR="00473E95" w:rsidRDefault="001843D9" w:rsidP="00DB4EB8">
            <w:pPr>
              <w:jc w:val="center"/>
            </w:pPr>
            <w:r>
              <w:t>£4928</w:t>
            </w:r>
          </w:p>
        </w:tc>
        <w:tc>
          <w:tcPr>
            <w:tcW w:w="1224" w:type="dxa"/>
          </w:tcPr>
          <w:p w:rsidR="007412EC" w:rsidRDefault="00946CEB" w:rsidP="007412EC">
            <w:pPr>
              <w:jc w:val="center"/>
            </w:pPr>
            <w:r>
              <w:t>58</w:t>
            </w:r>
          </w:p>
        </w:tc>
        <w:tc>
          <w:tcPr>
            <w:tcW w:w="1817" w:type="dxa"/>
          </w:tcPr>
          <w:p w:rsidR="007412EC" w:rsidRDefault="00946CEB" w:rsidP="00BB6343">
            <w:r>
              <w:t>Denise Osborne</w:t>
            </w:r>
          </w:p>
          <w:p w:rsidR="00946CEB" w:rsidRDefault="00946CEB" w:rsidP="00BB6343">
            <w:r>
              <w:t>(Business manager)</w:t>
            </w:r>
          </w:p>
        </w:tc>
        <w:tc>
          <w:tcPr>
            <w:tcW w:w="1949" w:type="dxa"/>
          </w:tcPr>
          <w:p w:rsidR="00473E95" w:rsidRDefault="005E3A0F" w:rsidP="00BB6343">
            <w:r>
              <w:t>Attendance numbers</w:t>
            </w:r>
          </w:p>
          <w:p w:rsidR="005E3A0F" w:rsidRDefault="005E3A0F" w:rsidP="00BB6343">
            <w:r>
              <w:t xml:space="preserve">% </w:t>
            </w:r>
            <w:r w:rsidR="001843D9">
              <w:t xml:space="preserve">pupils </w:t>
            </w:r>
            <w:r>
              <w:t>punctual increasing</w:t>
            </w:r>
          </w:p>
        </w:tc>
        <w:tc>
          <w:tcPr>
            <w:tcW w:w="2869" w:type="dxa"/>
          </w:tcPr>
          <w:p w:rsidR="003A3D4A" w:rsidRDefault="003A3D4A" w:rsidP="003A3D4A">
            <w:pPr>
              <w:rPr>
                <w:sz w:val="20"/>
              </w:rPr>
            </w:pPr>
            <w:r>
              <w:rPr>
                <w:sz w:val="20"/>
              </w:rPr>
              <w:t>The punctuality of disadvantaged pupils was significantly better.  In 16/17 disadvantaged pupils accounted for 26.5% of all lateness, whereas in 17/18, this fell to 14.4%.</w:t>
            </w:r>
          </w:p>
          <w:p w:rsidR="00473E95" w:rsidRPr="00683CEB" w:rsidRDefault="00473E95" w:rsidP="00BB6343">
            <w:pPr>
              <w:rPr>
                <w:sz w:val="20"/>
              </w:rPr>
            </w:pPr>
          </w:p>
        </w:tc>
        <w:tc>
          <w:tcPr>
            <w:tcW w:w="1231" w:type="dxa"/>
          </w:tcPr>
          <w:p w:rsidR="00473E95" w:rsidRDefault="000834B2" w:rsidP="000834B2">
            <w:pPr>
              <w:jc w:val="center"/>
            </w:pPr>
            <w:r>
              <w:t>YES</w:t>
            </w:r>
          </w:p>
        </w:tc>
      </w:tr>
      <w:tr w:rsidR="00DB4EB8" w:rsidTr="00FD5695">
        <w:tc>
          <w:tcPr>
            <w:tcW w:w="2183" w:type="dxa"/>
          </w:tcPr>
          <w:p w:rsidR="00473E95" w:rsidRDefault="00473E95" w:rsidP="00BB6343"/>
        </w:tc>
        <w:tc>
          <w:tcPr>
            <w:tcW w:w="2132" w:type="dxa"/>
          </w:tcPr>
          <w:p w:rsidR="00473E95" w:rsidRDefault="004223C6" w:rsidP="00BB6343">
            <w:r>
              <w:t>Attendance officer tracking pupil attendance.</w:t>
            </w:r>
          </w:p>
          <w:p w:rsidR="004223C6" w:rsidRDefault="004223C6" w:rsidP="00BB6343"/>
          <w:p w:rsidR="004223C6" w:rsidRDefault="004223C6" w:rsidP="00BB6343">
            <w:r>
              <w:t>Phone calls home for any pupil not in school with no reason.</w:t>
            </w:r>
          </w:p>
          <w:p w:rsidR="004223C6" w:rsidRDefault="004223C6" w:rsidP="00BB6343"/>
          <w:p w:rsidR="004223C6" w:rsidRDefault="004223C6" w:rsidP="00BB6343">
            <w:r>
              <w:t>Half-termly meetings with families of pupils whose attendance falls below 90%.</w:t>
            </w:r>
          </w:p>
        </w:tc>
        <w:tc>
          <w:tcPr>
            <w:tcW w:w="1115" w:type="dxa"/>
          </w:tcPr>
          <w:p w:rsidR="00473E95" w:rsidRDefault="001843D9" w:rsidP="00DB4EB8">
            <w:pPr>
              <w:jc w:val="center"/>
            </w:pPr>
            <w:r>
              <w:t>£3304</w:t>
            </w:r>
          </w:p>
        </w:tc>
        <w:tc>
          <w:tcPr>
            <w:tcW w:w="1224" w:type="dxa"/>
          </w:tcPr>
          <w:p w:rsidR="00DE322A" w:rsidRDefault="00946CEB" w:rsidP="00DE322A">
            <w:pPr>
              <w:jc w:val="center"/>
            </w:pPr>
            <w:r>
              <w:t>58</w:t>
            </w:r>
          </w:p>
        </w:tc>
        <w:tc>
          <w:tcPr>
            <w:tcW w:w="1817" w:type="dxa"/>
          </w:tcPr>
          <w:p w:rsidR="00473E95" w:rsidRDefault="00946CEB" w:rsidP="00BB6343">
            <w:r>
              <w:t>Denise Osborne</w:t>
            </w:r>
          </w:p>
          <w:p w:rsidR="00946CEB" w:rsidRDefault="00946CEB" w:rsidP="00BB6343">
            <w:r>
              <w:t>(Business manager)</w:t>
            </w:r>
          </w:p>
        </w:tc>
        <w:tc>
          <w:tcPr>
            <w:tcW w:w="1949" w:type="dxa"/>
          </w:tcPr>
          <w:p w:rsidR="00473E95" w:rsidRDefault="005E3A0F" w:rsidP="000300F6">
            <w:r>
              <w:t>Appraisal</w:t>
            </w:r>
          </w:p>
          <w:p w:rsidR="005E3A0F" w:rsidRDefault="005E3A0F" w:rsidP="000300F6">
            <w:r>
              <w:t>Publishing of attendance data</w:t>
            </w:r>
            <w:r w:rsidR="00FD5695">
              <w:t xml:space="preserve"> and weekly report</w:t>
            </w:r>
          </w:p>
          <w:p w:rsidR="00FD5695" w:rsidRDefault="00FD5695" w:rsidP="000300F6">
            <w:r>
              <w:t>Attendance team meetings</w:t>
            </w:r>
          </w:p>
        </w:tc>
        <w:tc>
          <w:tcPr>
            <w:tcW w:w="2869" w:type="dxa"/>
          </w:tcPr>
          <w:p w:rsidR="00473E95" w:rsidRDefault="00E43B99" w:rsidP="00BB6343">
            <w:pPr>
              <w:rPr>
                <w:sz w:val="20"/>
              </w:rPr>
            </w:pPr>
            <w:r>
              <w:rPr>
                <w:sz w:val="20"/>
              </w:rPr>
              <w:t>Overall school attendance has risen from 95.4% (16/17) to 95.6% (17/18).</w:t>
            </w:r>
          </w:p>
          <w:p w:rsidR="00E43B99" w:rsidRDefault="00E43B99" w:rsidP="00BB6343">
            <w:pPr>
              <w:rPr>
                <w:sz w:val="20"/>
              </w:rPr>
            </w:pPr>
            <w:r>
              <w:rPr>
                <w:sz w:val="20"/>
              </w:rPr>
              <w:t>This is a slight increase and still below our target of 96.1%.</w:t>
            </w:r>
          </w:p>
          <w:p w:rsidR="007E5161" w:rsidRDefault="00E43B99" w:rsidP="007E5161">
            <w:pPr>
              <w:rPr>
                <w:sz w:val="20"/>
              </w:rPr>
            </w:pPr>
            <w:r>
              <w:rPr>
                <w:sz w:val="20"/>
              </w:rPr>
              <w:t xml:space="preserve">The main </w:t>
            </w:r>
            <w:r w:rsidR="008900FA">
              <w:rPr>
                <w:sz w:val="20"/>
              </w:rPr>
              <w:t xml:space="preserve">cause of attendance being slightly below national is because of </w:t>
            </w:r>
            <w:r w:rsidR="007E5161">
              <w:rPr>
                <w:sz w:val="20"/>
              </w:rPr>
              <w:t>an increase in term time holidays.</w:t>
            </w:r>
          </w:p>
          <w:p w:rsidR="007E5161" w:rsidRDefault="007E5161" w:rsidP="007E5161">
            <w:pPr>
              <w:rPr>
                <w:sz w:val="20"/>
              </w:rPr>
            </w:pPr>
            <w:r>
              <w:rPr>
                <w:sz w:val="20"/>
              </w:rPr>
              <w:t>In 16/17, term-time holidays amounted to 0.86% of all absence, whereas in 17/18, this had increased to 0.94% of all absence.  In summary, of all absence in 17/18, 25% was down to term-time holidays.</w:t>
            </w:r>
          </w:p>
          <w:p w:rsidR="00E43B99" w:rsidRPr="00683CEB" w:rsidRDefault="007E5161" w:rsidP="007E5161">
            <w:pPr>
              <w:rPr>
                <w:sz w:val="20"/>
              </w:rPr>
            </w:pPr>
            <w:r>
              <w:rPr>
                <w:sz w:val="20"/>
              </w:rPr>
              <w:t>The school made __referrals to the Local Authority for fines, of which 1 was successful.</w:t>
            </w:r>
            <w:r w:rsidR="008900FA">
              <w:rPr>
                <w:sz w:val="20"/>
              </w:rPr>
              <w:t xml:space="preserve"> </w:t>
            </w:r>
          </w:p>
        </w:tc>
        <w:tc>
          <w:tcPr>
            <w:tcW w:w="1231" w:type="dxa"/>
          </w:tcPr>
          <w:p w:rsidR="00473E95" w:rsidRDefault="000834B2" w:rsidP="000834B2">
            <w:pPr>
              <w:jc w:val="center"/>
            </w:pPr>
            <w:r>
              <w:t>YES</w:t>
            </w:r>
          </w:p>
        </w:tc>
      </w:tr>
      <w:tr w:rsidR="00BC4980" w:rsidTr="00FD5695">
        <w:tc>
          <w:tcPr>
            <w:tcW w:w="2183" w:type="dxa"/>
          </w:tcPr>
          <w:p w:rsidR="00BC4980" w:rsidRDefault="00BC4980" w:rsidP="00BC4980">
            <w:r>
              <w:t>Identify pupils with S &amp; L difficulties early and provide timely intervention to enable them to achieve well.</w:t>
            </w:r>
          </w:p>
        </w:tc>
        <w:tc>
          <w:tcPr>
            <w:tcW w:w="2132" w:type="dxa"/>
          </w:tcPr>
          <w:p w:rsidR="00BC4980" w:rsidRDefault="004223C6" w:rsidP="00BB6343">
            <w:r>
              <w:t>Employ S&amp;L therapist to deliver bespoke intervention to pupils identified as requiring S&amp;L support.</w:t>
            </w:r>
          </w:p>
          <w:p w:rsidR="004223C6" w:rsidRDefault="004223C6" w:rsidP="00BB6343"/>
          <w:p w:rsidR="00BC4980" w:rsidRDefault="004223C6" w:rsidP="00BB6343">
            <w:r>
              <w:t>S&amp;LT to work with parents and support staff to advise on strategies to employ.</w:t>
            </w:r>
          </w:p>
          <w:p w:rsidR="00BC4980" w:rsidRDefault="00BC4980" w:rsidP="00946CEB"/>
        </w:tc>
        <w:tc>
          <w:tcPr>
            <w:tcW w:w="1115" w:type="dxa"/>
          </w:tcPr>
          <w:p w:rsidR="00BC4980" w:rsidRDefault="001843D9" w:rsidP="00DB4EB8">
            <w:pPr>
              <w:jc w:val="center"/>
            </w:pPr>
            <w:r>
              <w:t>£6150</w:t>
            </w:r>
          </w:p>
          <w:p w:rsidR="00BC4980" w:rsidRDefault="00BC4980" w:rsidP="00DB4EB8">
            <w:pPr>
              <w:jc w:val="center"/>
            </w:pPr>
          </w:p>
          <w:p w:rsidR="00BC4980" w:rsidRDefault="00BC4980" w:rsidP="00DB4EB8">
            <w:pPr>
              <w:jc w:val="center"/>
            </w:pPr>
          </w:p>
          <w:p w:rsidR="00BC4980" w:rsidRDefault="00BC4980" w:rsidP="00DB4EB8">
            <w:pPr>
              <w:jc w:val="center"/>
            </w:pPr>
          </w:p>
        </w:tc>
        <w:tc>
          <w:tcPr>
            <w:tcW w:w="1224" w:type="dxa"/>
          </w:tcPr>
          <w:p w:rsidR="00BC4980" w:rsidRDefault="00946CEB" w:rsidP="00DE322A">
            <w:pPr>
              <w:jc w:val="center"/>
            </w:pPr>
            <w:r>
              <w:t>6</w:t>
            </w:r>
          </w:p>
        </w:tc>
        <w:tc>
          <w:tcPr>
            <w:tcW w:w="1817" w:type="dxa"/>
          </w:tcPr>
          <w:p w:rsidR="00BC4980" w:rsidRDefault="00946CEB" w:rsidP="00BB6343">
            <w:r>
              <w:t>Anna Howard</w:t>
            </w:r>
          </w:p>
          <w:p w:rsidR="00946CEB" w:rsidRDefault="00946CEB" w:rsidP="00BB6343">
            <w:r>
              <w:t>(Assistant Head)</w:t>
            </w:r>
          </w:p>
        </w:tc>
        <w:tc>
          <w:tcPr>
            <w:tcW w:w="1949" w:type="dxa"/>
          </w:tcPr>
          <w:p w:rsidR="00BC4980" w:rsidRDefault="005E3A0F" w:rsidP="000300F6">
            <w:r>
              <w:t>Progress monitored by S&amp;L therapist</w:t>
            </w:r>
          </w:p>
          <w:p w:rsidR="005E3A0F" w:rsidRDefault="005E3A0F" w:rsidP="000300F6">
            <w:r>
              <w:t xml:space="preserve">Updates to </w:t>
            </w:r>
            <w:proofErr w:type="spellStart"/>
            <w:r>
              <w:t>SENCo</w:t>
            </w:r>
            <w:proofErr w:type="spellEnd"/>
            <w:r>
              <w:t xml:space="preserve"> at the end of each cycle</w:t>
            </w:r>
          </w:p>
        </w:tc>
        <w:tc>
          <w:tcPr>
            <w:tcW w:w="2869" w:type="dxa"/>
          </w:tcPr>
          <w:p w:rsidR="0023265E" w:rsidRDefault="0023265E" w:rsidP="00BB6343">
            <w:pPr>
              <w:rPr>
                <w:sz w:val="20"/>
              </w:rPr>
            </w:pPr>
            <w:r>
              <w:rPr>
                <w:sz w:val="20"/>
              </w:rPr>
              <w:t>7 children across the school received targeted S&amp;L support from Bridge.</w:t>
            </w:r>
          </w:p>
          <w:p w:rsidR="0023265E" w:rsidRDefault="0023265E" w:rsidP="00BB6343">
            <w:pPr>
              <w:rPr>
                <w:sz w:val="20"/>
              </w:rPr>
            </w:pPr>
            <w:r>
              <w:rPr>
                <w:sz w:val="20"/>
              </w:rPr>
              <w:t xml:space="preserve">Of these 7, 6 were disadvantaged pupils. </w:t>
            </w:r>
          </w:p>
          <w:p w:rsidR="0023265E" w:rsidRDefault="0023265E" w:rsidP="00BB6343">
            <w:pPr>
              <w:rPr>
                <w:sz w:val="20"/>
              </w:rPr>
            </w:pPr>
          </w:p>
          <w:p w:rsidR="00BC4980" w:rsidRDefault="0023265E" w:rsidP="00BB6343">
            <w:pPr>
              <w:rPr>
                <w:sz w:val="20"/>
              </w:rPr>
            </w:pPr>
            <w:r>
              <w:rPr>
                <w:sz w:val="20"/>
              </w:rPr>
              <w:t>All pupils made great progress from their starting points and, although this is difficult to measure on paper due to the nature of the activity/need, it is clear to teaching staff during lessons.</w:t>
            </w:r>
          </w:p>
          <w:p w:rsidR="0023265E" w:rsidRDefault="0023265E" w:rsidP="00BB6343">
            <w:pPr>
              <w:rPr>
                <w:sz w:val="20"/>
              </w:rPr>
            </w:pPr>
            <w:r>
              <w:rPr>
                <w:sz w:val="20"/>
              </w:rPr>
              <w:t>In addition, the families of these pupils have received ongoing support from Bridge and the school to continue to develop their child’s S&amp;L next academic year.</w:t>
            </w:r>
          </w:p>
          <w:p w:rsidR="0023265E" w:rsidRDefault="0023265E" w:rsidP="00BB6343">
            <w:pPr>
              <w:rPr>
                <w:sz w:val="20"/>
              </w:rPr>
            </w:pPr>
          </w:p>
          <w:p w:rsidR="0023265E" w:rsidRPr="00683CEB" w:rsidRDefault="0023265E" w:rsidP="00BB6343">
            <w:pPr>
              <w:rPr>
                <w:sz w:val="20"/>
              </w:rPr>
            </w:pPr>
          </w:p>
        </w:tc>
        <w:tc>
          <w:tcPr>
            <w:tcW w:w="1231" w:type="dxa"/>
          </w:tcPr>
          <w:p w:rsidR="00BC4980" w:rsidRDefault="000834B2" w:rsidP="000834B2">
            <w:pPr>
              <w:jc w:val="center"/>
            </w:pPr>
            <w:r>
              <w:t>YES</w:t>
            </w:r>
          </w:p>
        </w:tc>
      </w:tr>
      <w:tr w:rsidR="00DB4EB8" w:rsidTr="00FD5695">
        <w:tc>
          <w:tcPr>
            <w:tcW w:w="2183" w:type="dxa"/>
          </w:tcPr>
          <w:p w:rsidR="00473E95" w:rsidRDefault="00BC4980" w:rsidP="00BB6343">
            <w:r>
              <w:t>Support children and families with social and emotional difficulties so that this does not have a negative impact in their learning.</w:t>
            </w:r>
          </w:p>
        </w:tc>
        <w:tc>
          <w:tcPr>
            <w:tcW w:w="2132" w:type="dxa"/>
          </w:tcPr>
          <w:p w:rsidR="00473E95" w:rsidRDefault="00BC4980" w:rsidP="00BB6343">
            <w:r>
              <w:t>Increase hours of non-class based EWB worker to include all afternoons, where we have seen an increase in social and emotional difficulties of vulnerable pupils.</w:t>
            </w:r>
          </w:p>
          <w:p w:rsidR="004223C6" w:rsidRDefault="004223C6" w:rsidP="00BB6343"/>
        </w:tc>
        <w:tc>
          <w:tcPr>
            <w:tcW w:w="1115" w:type="dxa"/>
          </w:tcPr>
          <w:p w:rsidR="00473E95" w:rsidRDefault="001843D9" w:rsidP="00DB4EB8">
            <w:pPr>
              <w:jc w:val="center"/>
            </w:pPr>
            <w:r>
              <w:t>£13 651</w:t>
            </w:r>
          </w:p>
        </w:tc>
        <w:tc>
          <w:tcPr>
            <w:tcW w:w="1224" w:type="dxa"/>
          </w:tcPr>
          <w:p w:rsidR="00DE322A" w:rsidRDefault="00946CEB" w:rsidP="00DE322A">
            <w:pPr>
              <w:jc w:val="center"/>
            </w:pPr>
            <w:r>
              <w:t>58</w:t>
            </w:r>
          </w:p>
        </w:tc>
        <w:tc>
          <w:tcPr>
            <w:tcW w:w="1817" w:type="dxa"/>
          </w:tcPr>
          <w:p w:rsidR="00DB4EB8" w:rsidRDefault="00946CEB" w:rsidP="00DB4EB8">
            <w:r>
              <w:t xml:space="preserve">Anna Howard </w:t>
            </w:r>
          </w:p>
          <w:p w:rsidR="00946CEB" w:rsidRDefault="00946CEB" w:rsidP="00DB4EB8">
            <w:r>
              <w:t>(Assistant Head)</w:t>
            </w:r>
          </w:p>
        </w:tc>
        <w:tc>
          <w:tcPr>
            <w:tcW w:w="1949" w:type="dxa"/>
          </w:tcPr>
          <w:p w:rsidR="00473E95" w:rsidRDefault="00FD5695" w:rsidP="000300F6">
            <w:r>
              <w:t>Bullying incidents</w:t>
            </w:r>
          </w:p>
          <w:p w:rsidR="00FD5695" w:rsidRDefault="00FD5695" w:rsidP="000300F6">
            <w:r>
              <w:t>Behaviour logs</w:t>
            </w:r>
          </w:p>
          <w:p w:rsidR="00FD5695" w:rsidRDefault="00FD5695" w:rsidP="000300F6">
            <w:r>
              <w:t>Half-termly safeguarding team meetings</w:t>
            </w:r>
          </w:p>
        </w:tc>
        <w:tc>
          <w:tcPr>
            <w:tcW w:w="2869" w:type="dxa"/>
          </w:tcPr>
          <w:p w:rsidR="00473E95" w:rsidRDefault="00021FF4" w:rsidP="00BB6343">
            <w:pPr>
              <w:rPr>
                <w:sz w:val="20"/>
              </w:rPr>
            </w:pPr>
            <w:r>
              <w:rPr>
                <w:sz w:val="20"/>
              </w:rPr>
              <w:t>There has been a significant improvement in behaviour for learning in afternoons due to the availability of the EWB during afternoon sessions.</w:t>
            </w:r>
          </w:p>
          <w:p w:rsidR="00021FF4" w:rsidRDefault="00021FF4" w:rsidP="00BB6343">
            <w:pPr>
              <w:rPr>
                <w:sz w:val="20"/>
              </w:rPr>
            </w:pPr>
            <w:r>
              <w:rPr>
                <w:sz w:val="20"/>
              </w:rPr>
              <w:t>Previously, SLT were being called to classes to deal with low-level disruption, which was taking away from their core role.</w:t>
            </w:r>
          </w:p>
          <w:p w:rsidR="00021FF4" w:rsidRDefault="00021FF4" w:rsidP="00BB6343">
            <w:pPr>
              <w:rPr>
                <w:sz w:val="20"/>
              </w:rPr>
            </w:pPr>
            <w:r>
              <w:rPr>
                <w:sz w:val="20"/>
              </w:rPr>
              <w:t>Now that the EWB is working full time, those pupils who need support in an afternoon are targeted by the EWB worker.</w:t>
            </w:r>
          </w:p>
          <w:p w:rsidR="00021FF4" w:rsidRDefault="00021FF4" w:rsidP="00BB6343">
            <w:pPr>
              <w:rPr>
                <w:sz w:val="20"/>
              </w:rPr>
            </w:pPr>
            <w:r>
              <w:rPr>
                <w:sz w:val="20"/>
              </w:rPr>
              <w:t>In addition, the number of families that the EWB worker is working with has increased significantly.</w:t>
            </w:r>
          </w:p>
          <w:p w:rsidR="0023265E" w:rsidRDefault="0023265E" w:rsidP="00BB6343">
            <w:pPr>
              <w:rPr>
                <w:sz w:val="20"/>
              </w:rPr>
            </w:pPr>
          </w:p>
          <w:p w:rsidR="0023265E" w:rsidRPr="00683CEB" w:rsidRDefault="0023265E" w:rsidP="00BB6343">
            <w:pPr>
              <w:rPr>
                <w:sz w:val="20"/>
              </w:rPr>
            </w:pPr>
          </w:p>
        </w:tc>
        <w:tc>
          <w:tcPr>
            <w:tcW w:w="1231" w:type="dxa"/>
          </w:tcPr>
          <w:p w:rsidR="00473E95" w:rsidRDefault="000834B2" w:rsidP="00683CEB">
            <w:pPr>
              <w:jc w:val="center"/>
            </w:pPr>
            <w:r>
              <w:t>YES</w:t>
            </w:r>
          </w:p>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Other approaches</w:t>
            </w:r>
          </w:p>
        </w:tc>
      </w:tr>
      <w:tr w:rsidR="00DB4EB8" w:rsidTr="00FD5695">
        <w:tc>
          <w:tcPr>
            <w:tcW w:w="2183" w:type="dxa"/>
          </w:tcPr>
          <w:p w:rsidR="00473E95" w:rsidRDefault="00946CEB" w:rsidP="00BB6343">
            <w:r>
              <w:t>To raise aspiration and give opportunities outside of the curriculum.</w:t>
            </w:r>
          </w:p>
        </w:tc>
        <w:tc>
          <w:tcPr>
            <w:tcW w:w="2132" w:type="dxa"/>
          </w:tcPr>
          <w:p w:rsidR="00473E95" w:rsidRDefault="004223C6" w:rsidP="00BB6343">
            <w:r>
              <w:t xml:space="preserve">Reduce the cost of the residential visit for disadvantaged pupils by </w:t>
            </w:r>
            <w:r w:rsidR="003F5F38">
              <w:t>50%.</w:t>
            </w:r>
          </w:p>
        </w:tc>
        <w:tc>
          <w:tcPr>
            <w:tcW w:w="1115" w:type="dxa"/>
          </w:tcPr>
          <w:p w:rsidR="00473E95" w:rsidRDefault="001843D9" w:rsidP="00DB4EB8">
            <w:pPr>
              <w:jc w:val="center"/>
            </w:pPr>
            <w:r>
              <w:t>£1120</w:t>
            </w:r>
          </w:p>
        </w:tc>
        <w:tc>
          <w:tcPr>
            <w:tcW w:w="1224" w:type="dxa"/>
          </w:tcPr>
          <w:p w:rsidR="00DE322A" w:rsidRDefault="00946CEB" w:rsidP="00DE322A">
            <w:pPr>
              <w:jc w:val="center"/>
            </w:pPr>
            <w:r>
              <w:t>16</w:t>
            </w:r>
          </w:p>
        </w:tc>
        <w:tc>
          <w:tcPr>
            <w:tcW w:w="1817" w:type="dxa"/>
          </w:tcPr>
          <w:p w:rsidR="00473E95" w:rsidRDefault="00FD5695" w:rsidP="00BB6343">
            <w:r>
              <w:t>Stuart Mills</w:t>
            </w:r>
          </w:p>
          <w:p w:rsidR="00FD5695" w:rsidRDefault="00FD5695" w:rsidP="00BB6343">
            <w:r>
              <w:t>(Head of School)</w:t>
            </w:r>
          </w:p>
        </w:tc>
        <w:tc>
          <w:tcPr>
            <w:tcW w:w="1949" w:type="dxa"/>
          </w:tcPr>
          <w:p w:rsidR="00473E95" w:rsidRDefault="00FD5695" w:rsidP="00FD5695">
            <w:r>
              <w:t>% of disadvantaged pupils attending at reduced price</w:t>
            </w:r>
          </w:p>
          <w:p w:rsidR="00FD5695" w:rsidRDefault="00FD5695" w:rsidP="00FD5695">
            <w:r>
              <w:t>Pupil survey</w:t>
            </w:r>
          </w:p>
        </w:tc>
        <w:tc>
          <w:tcPr>
            <w:tcW w:w="2869" w:type="dxa"/>
          </w:tcPr>
          <w:p w:rsidR="00021FF4" w:rsidRPr="00021FF4" w:rsidRDefault="00021FF4" w:rsidP="00021FF4">
            <w:pPr>
              <w:rPr>
                <w:sz w:val="20"/>
              </w:rPr>
            </w:pPr>
            <w:r w:rsidRPr="00021FF4">
              <w:rPr>
                <w:sz w:val="20"/>
              </w:rPr>
              <w:t>This year, 75% of</w:t>
            </w:r>
            <w:r>
              <w:rPr>
                <w:sz w:val="20"/>
              </w:rPr>
              <w:t xml:space="preserve"> eligible</w:t>
            </w:r>
            <w:r w:rsidRPr="00021FF4">
              <w:rPr>
                <w:sz w:val="20"/>
              </w:rPr>
              <w:t xml:space="preserve"> PP children accessed the discounted price for residential.</w:t>
            </w:r>
          </w:p>
          <w:p w:rsidR="00473E95" w:rsidRDefault="00021FF4" w:rsidP="00021FF4">
            <w:pPr>
              <w:rPr>
                <w:sz w:val="20"/>
              </w:rPr>
            </w:pPr>
            <w:r w:rsidRPr="00021FF4">
              <w:rPr>
                <w:sz w:val="20"/>
              </w:rPr>
              <w:t>This represents 12 out of the 16 pupils entitled to PP.</w:t>
            </w:r>
          </w:p>
          <w:p w:rsidR="00021FF4" w:rsidRDefault="00021FF4" w:rsidP="00021FF4">
            <w:pPr>
              <w:rPr>
                <w:sz w:val="20"/>
              </w:rPr>
            </w:pPr>
            <w:r>
              <w:rPr>
                <w:sz w:val="20"/>
              </w:rPr>
              <w:t>Those that did not take up the discounted offer gave reasons of their children not wanting to take part, rather than a cost implication.</w:t>
            </w:r>
          </w:p>
          <w:p w:rsidR="00021FF4" w:rsidRDefault="00021FF4" w:rsidP="00021FF4">
            <w:pPr>
              <w:rPr>
                <w:sz w:val="20"/>
              </w:rPr>
            </w:pPr>
            <w:r>
              <w:rPr>
                <w:sz w:val="20"/>
              </w:rPr>
              <w:t>Without the subsidy, it is likely that more of our PP pupils will have been unable to attend.</w:t>
            </w:r>
          </w:p>
          <w:p w:rsidR="0023265E" w:rsidRPr="00683CEB" w:rsidRDefault="0023265E" w:rsidP="00021FF4">
            <w:pPr>
              <w:rPr>
                <w:sz w:val="20"/>
              </w:rPr>
            </w:pPr>
          </w:p>
        </w:tc>
        <w:tc>
          <w:tcPr>
            <w:tcW w:w="1231" w:type="dxa"/>
          </w:tcPr>
          <w:p w:rsidR="00473E95" w:rsidRDefault="00683CEB" w:rsidP="00683CEB">
            <w:pPr>
              <w:jc w:val="center"/>
            </w:pPr>
            <w:r>
              <w:t>YES</w:t>
            </w:r>
          </w:p>
        </w:tc>
      </w:tr>
      <w:tr w:rsidR="00DB4EB8" w:rsidTr="00FD5695">
        <w:tc>
          <w:tcPr>
            <w:tcW w:w="2183" w:type="dxa"/>
          </w:tcPr>
          <w:p w:rsidR="00473E95" w:rsidRDefault="00473E95" w:rsidP="00BB6343"/>
        </w:tc>
        <w:tc>
          <w:tcPr>
            <w:tcW w:w="2132" w:type="dxa"/>
          </w:tcPr>
          <w:p w:rsidR="00473E95" w:rsidRDefault="003F5F38" w:rsidP="00BB6343">
            <w:r>
              <w:t>£100 contribution for each class each term for a class visit.</w:t>
            </w:r>
          </w:p>
        </w:tc>
        <w:tc>
          <w:tcPr>
            <w:tcW w:w="1115" w:type="dxa"/>
          </w:tcPr>
          <w:p w:rsidR="00473E95" w:rsidRDefault="001843D9" w:rsidP="00DB4EB8">
            <w:pPr>
              <w:jc w:val="center"/>
            </w:pPr>
            <w:r>
              <w:t>£2100</w:t>
            </w:r>
          </w:p>
        </w:tc>
        <w:tc>
          <w:tcPr>
            <w:tcW w:w="1224" w:type="dxa"/>
          </w:tcPr>
          <w:p w:rsidR="00DE322A" w:rsidRDefault="00946CEB" w:rsidP="00DE322A">
            <w:pPr>
              <w:jc w:val="center"/>
            </w:pPr>
            <w:r>
              <w:t>58</w:t>
            </w:r>
          </w:p>
        </w:tc>
        <w:tc>
          <w:tcPr>
            <w:tcW w:w="1817" w:type="dxa"/>
          </w:tcPr>
          <w:p w:rsidR="00473E95" w:rsidRDefault="00FD5695" w:rsidP="00BB6343">
            <w:r>
              <w:t xml:space="preserve">Helen </w:t>
            </w:r>
            <w:proofErr w:type="spellStart"/>
            <w:r>
              <w:t>Ellerton</w:t>
            </w:r>
            <w:proofErr w:type="spellEnd"/>
          </w:p>
          <w:p w:rsidR="00FD5695" w:rsidRDefault="00FD5695" w:rsidP="00BB6343">
            <w:r>
              <w:t>(EVC)</w:t>
            </w:r>
          </w:p>
        </w:tc>
        <w:tc>
          <w:tcPr>
            <w:tcW w:w="1949" w:type="dxa"/>
          </w:tcPr>
          <w:p w:rsidR="00473E95" w:rsidRDefault="00FD5695" w:rsidP="000300F6">
            <w:r>
              <w:t>Visits log</w:t>
            </w:r>
          </w:p>
          <w:p w:rsidR="00FD5695" w:rsidRDefault="00FD5695" w:rsidP="000300F6">
            <w:r>
              <w:t>Pupil survey</w:t>
            </w:r>
          </w:p>
          <w:p w:rsidR="00FD5695" w:rsidRDefault="00FD5695" w:rsidP="000300F6">
            <w:r>
              <w:t>Parent survey</w:t>
            </w:r>
          </w:p>
        </w:tc>
        <w:tc>
          <w:tcPr>
            <w:tcW w:w="2869" w:type="dxa"/>
          </w:tcPr>
          <w:p w:rsidR="00473E95" w:rsidRDefault="00021FF4" w:rsidP="00BB6343">
            <w:pPr>
              <w:rPr>
                <w:sz w:val="20"/>
              </w:rPr>
            </w:pPr>
            <w:r>
              <w:rPr>
                <w:sz w:val="20"/>
              </w:rPr>
              <w:t>100% of disadvantaged pupils have taken part in at least 2 visits this year as part of their learning.</w:t>
            </w:r>
          </w:p>
          <w:p w:rsidR="0023265E" w:rsidRDefault="0023265E" w:rsidP="00BB6343">
            <w:pPr>
              <w:rPr>
                <w:sz w:val="20"/>
              </w:rPr>
            </w:pPr>
            <w:r>
              <w:rPr>
                <w:sz w:val="20"/>
              </w:rPr>
              <w:t>We are firmly committed to broadening our children’s experiences and feel that it is necessary to partly subsidise visits to ensure that pupils who are disadvantaged are able to access them.</w:t>
            </w:r>
          </w:p>
          <w:p w:rsidR="0023265E" w:rsidRPr="00683CEB" w:rsidRDefault="0023265E" w:rsidP="00BB6343">
            <w:pPr>
              <w:rPr>
                <w:sz w:val="20"/>
              </w:rPr>
            </w:pPr>
          </w:p>
        </w:tc>
        <w:tc>
          <w:tcPr>
            <w:tcW w:w="1231" w:type="dxa"/>
          </w:tcPr>
          <w:p w:rsidR="00473E95" w:rsidRDefault="00683CEB" w:rsidP="00683CEB">
            <w:pPr>
              <w:jc w:val="center"/>
            </w:pPr>
            <w:r>
              <w:t>YES</w:t>
            </w:r>
          </w:p>
        </w:tc>
      </w:tr>
      <w:tr w:rsidR="00DB4EB8" w:rsidTr="00FD5695">
        <w:tc>
          <w:tcPr>
            <w:tcW w:w="2183" w:type="dxa"/>
          </w:tcPr>
          <w:p w:rsidR="00473E95" w:rsidRDefault="00473E95" w:rsidP="00BB6343"/>
        </w:tc>
        <w:tc>
          <w:tcPr>
            <w:tcW w:w="2132" w:type="dxa"/>
          </w:tcPr>
          <w:p w:rsidR="00473E95" w:rsidRDefault="003F5F38" w:rsidP="00BB6343">
            <w:r>
              <w:t>Food and staffing costs for a free cookery club, which all children will have access to at least once throughout the academic year.</w:t>
            </w:r>
          </w:p>
          <w:p w:rsidR="003F5F38" w:rsidRDefault="003F5F38" w:rsidP="00BB6343"/>
        </w:tc>
        <w:tc>
          <w:tcPr>
            <w:tcW w:w="1115" w:type="dxa"/>
          </w:tcPr>
          <w:p w:rsidR="00473E95" w:rsidRPr="001843D9" w:rsidRDefault="001843D9" w:rsidP="00DB4EB8">
            <w:pPr>
              <w:jc w:val="center"/>
            </w:pPr>
            <w:r w:rsidRPr="001843D9">
              <w:t>£4134</w:t>
            </w:r>
          </w:p>
        </w:tc>
        <w:tc>
          <w:tcPr>
            <w:tcW w:w="1224" w:type="dxa"/>
          </w:tcPr>
          <w:p w:rsidR="00473E95" w:rsidRDefault="00946CEB" w:rsidP="00946CEB">
            <w:pPr>
              <w:jc w:val="center"/>
            </w:pPr>
            <w:r>
              <w:t>58</w:t>
            </w:r>
          </w:p>
        </w:tc>
        <w:tc>
          <w:tcPr>
            <w:tcW w:w="1817" w:type="dxa"/>
          </w:tcPr>
          <w:p w:rsidR="00473E95" w:rsidRDefault="00FD5695" w:rsidP="00BB6343">
            <w:r>
              <w:t>Susan Puckering</w:t>
            </w:r>
          </w:p>
          <w:p w:rsidR="00FD5695" w:rsidRDefault="00FD5695" w:rsidP="00BB6343">
            <w:r>
              <w:t>(EWB)</w:t>
            </w:r>
          </w:p>
        </w:tc>
        <w:tc>
          <w:tcPr>
            <w:tcW w:w="1949" w:type="dxa"/>
          </w:tcPr>
          <w:p w:rsidR="00473E95" w:rsidRDefault="00FD5695" w:rsidP="00BB6343">
            <w:r>
              <w:t>Attendance list</w:t>
            </w:r>
          </w:p>
          <w:p w:rsidR="00FD5695" w:rsidRDefault="00FD5695" w:rsidP="00BB6343">
            <w:r>
              <w:t>Pupil survey</w:t>
            </w:r>
          </w:p>
        </w:tc>
        <w:tc>
          <w:tcPr>
            <w:tcW w:w="2869" w:type="dxa"/>
          </w:tcPr>
          <w:p w:rsidR="00473E95" w:rsidRDefault="00A362F6" w:rsidP="00BB6343">
            <w:pPr>
              <w:rPr>
                <w:sz w:val="20"/>
              </w:rPr>
            </w:pPr>
            <w:r>
              <w:rPr>
                <w:sz w:val="20"/>
              </w:rPr>
              <w:t>Out of a possible 51 disadvantaged pupils eligible to attend cookery club, 44% took up the offer.</w:t>
            </w:r>
          </w:p>
          <w:p w:rsidR="00A362F6" w:rsidRPr="00683CEB" w:rsidRDefault="00A362F6" w:rsidP="00BB6343">
            <w:pPr>
              <w:rPr>
                <w:sz w:val="20"/>
              </w:rPr>
            </w:pPr>
            <w:r>
              <w:rPr>
                <w:sz w:val="20"/>
              </w:rPr>
              <w:t>All disadvantaged pupils in classes 1-6 are invited to attend cookery at some point in the year.</w:t>
            </w:r>
            <w:bookmarkStart w:id="0" w:name="_GoBack"/>
            <w:bookmarkEnd w:id="0"/>
          </w:p>
        </w:tc>
        <w:tc>
          <w:tcPr>
            <w:tcW w:w="1231" w:type="dxa"/>
          </w:tcPr>
          <w:p w:rsidR="00473E95" w:rsidRDefault="00683CEB" w:rsidP="00683CEB">
            <w:pPr>
              <w:jc w:val="center"/>
            </w:pPr>
            <w:r>
              <w:t>YES</w:t>
            </w:r>
          </w:p>
        </w:tc>
      </w:tr>
      <w:tr w:rsidR="001843D9" w:rsidTr="00FD5695">
        <w:tc>
          <w:tcPr>
            <w:tcW w:w="2183" w:type="dxa"/>
          </w:tcPr>
          <w:p w:rsidR="001843D9" w:rsidRDefault="001843D9" w:rsidP="00BB6343"/>
        </w:tc>
        <w:tc>
          <w:tcPr>
            <w:tcW w:w="2132" w:type="dxa"/>
          </w:tcPr>
          <w:p w:rsidR="001843D9" w:rsidRDefault="001843D9" w:rsidP="00BB6343">
            <w:r>
              <w:t>Free peripatetic sessions (keyboard and guitars)</w:t>
            </w:r>
          </w:p>
        </w:tc>
        <w:tc>
          <w:tcPr>
            <w:tcW w:w="1115" w:type="dxa"/>
          </w:tcPr>
          <w:p w:rsidR="001843D9" w:rsidRPr="001843D9" w:rsidRDefault="006A4DD4" w:rsidP="00DB4EB8">
            <w:pPr>
              <w:jc w:val="center"/>
            </w:pPr>
            <w:r>
              <w:t>£1440</w:t>
            </w:r>
          </w:p>
        </w:tc>
        <w:tc>
          <w:tcPr>
            <w:tcW w:w="1224" w:type="dxa"/>
          </w:tcPr>
          <w:p w:rsidR="001843D9" w:rsidRDefault="006A4DD4" w:rsidP="00946CEB">
            <w:pPr>
              <w:jc w:val="center"/>
            </w:pPr>
            <w:r>
              <w:t>6</w:t>
            </w:r>
          </w:p>
        </w:tc>
        <w:tc>
          <w:tcPr>
            <w:tcW w:w="1817" w:type="dxa"/>
          </w:tcPr>
          <w:p w:rsidR="001843D9" w:rsidRDefault="006A4DD4" w:rsidP="00BB6343">
            <w:r>
              <w:t>Denise Osborne</w:t>
            </w:r>
          </w:p>
          <w:p w:rsidR="006A4DD4" w:rsidRDefault="006A4DD4" w:rsidP="00BB6343">
            <w:r>
              <w:t>(Business manager)</w:t>
            </w:r>
          </w:p>
        </w:tc>
        <w:tc>
          <w:tcPr>
            <w:tcW w:w="1949" w:type="dxa"/>
          </w:tcPr>
          <w:p w:rsidR="001843D9" w:rsidRDefault="006A4DD4" w:rsidP="00BB6343">
            <w:r>
              <w:t>Attendance at sessions</w:t>
            </w:r>
          </w:p>
          <w:p w:rsidR="006A4DD4" w:rsidRDefault="006A4DD4" w:rsidP="00BB6343">
            <w:r>
              <w:t>Pupil survey</w:t>
            </w:r>
          </w:p>
          <w:p w:rsidR="006A4DD4" w:rsidRDefault="006A4DD4" w:rsidP="00BB6343">
            <w:r>
              <w:t>Parent survey</w:t>
            </w:r>
          </w:p>
        </w:tc>
        <w:tc>
          <w:tcPr>
            <w:tcW w:w="2869" w:type="dxa"/>
          </w:tcPr>
          <w:p w:rsidR="001843D9" w:rsidRDefault="00FD4312" w:rsidP="00BB6343">
            <w:pPr>
              <w:rPr>
                <w:sz w:val="20"/>
              </w:rPr>
            </w:pPr>
            <w:r>
              <w:rPr>
                <w:sz w:val="20"/>
              </w:rPr>
              <w:t>Disappointingly, only 5 children took up the offer of free music tuition this year, of which only 1 was disadvantaged.</w:t>
            </w:r>
          </w:p>
          <w:p w:rsidR="00FD4312" w:rsidRPr="00683CEB" w:rsidRDefault="00FD4312" w:rsidP="00BB6343">
            <w:pPr>
              <w:rPr>
                <w:sz w:val="20"/>
              </w:rPr>
            </w:pPr>
            <w:r>
              <w:rPr>
                <w:sz w:val="20"/>
              </w:rPr>
              <w:t>As a result, this will be discontinued next academic year.</w:t>
            </w:r>
          </w:p>
        </w:tc>
        <w:tc>
          <w:tcPr>
            <w:tcW w:w="1231" w:type="dxa"/>
          </w:tcPr>
          <w:p w:rsidR="001843D9" w:rsidRDefault="00683CEB" w:rsidP="00683CEB">
            <w:pPr>
              <w:jc w:val="center"/>
            </w:pPr>
            <w:r>
              <w:t>NO</w:t>
            </w:r>
          </w:p>
        </w:tc>
      </w:tr>
      <w:tr w:rsidR="001843D9" w:rsidTr="00FD5695">
        <w:tc>
          <w:tcPr>
            <w:tcW w:w="2183" w:type="dxa"/>
          </w:tcPr>
          <w:p w:rsidR="001843D9" w:rsidRDefault="001843D9" w:rsidP="00BB6343"/>
        </w:tc>
        <w:tc>
          <w:tcPr>
            <w:tcW w:w="2132" w:type="dxa"/>
          </w:tcPr>
          <w:p w:rsidR="001843D9" w:rsidRDefault="001843D9" w:rsidP="00BB6343"/>
        </w:tc>
        <w:tc>
          <w:tcPr>
            <w:tcW w:w="1115" w:type="dxa"/>
          </w:tcPr>
          <w:p w:rsidR="001843D9" w:rsidRPr="006A4DD4" w:rsidRDefault="006A4DD4" w:rsidP="00DB4EB8">
            <w:pPr>
              <w:jc w:val="center"/>
              <w:rPr>
                <w:b/>
              </w:rPr>
            </w:pPr>
            <w:r w:rsidRPr="006A4DD4">
              <w:rPr>
                <w:b/>
              </w:rPr>
              <w:t>£84 009</w:t>
            </w:r>
          </w:p>
        </w:tc>
        <w:tc>
          <w:tcPr>
            <w:tcW w:w="1224" w:type="dxa"/>
          </w:tcPr>
          <w:p w:rsidR="001843D9" w:rsidRDefault="001843D9" w:rsidP="00946CEB">
            <w:pPr>
              <w:jc w:val="center"/>
            </w:pPr>
          </w:p>
        </w:tc>
        <w:tc>
          <w:tcPr>
            <w:tcW w:w="1817" w:type="dxa"/>
          </w:tcPr>
          <w:p w:rsidR="001843D9" w:rsidRDefault="001843D9" w:rsidP="00BB6343"/>
        </w:tc>
        <w:tc>
          <w:tcPr>
            <w:tcW w:w="1949" w:type="dxa"/>
          </w:tcPr>
          <w:p w:rsidR="001843D9" w:rsidRDefault="001843D9" w:rsidP="00BB6343"/>
        </w:tc>
        <w:tc>
          <w:tcPr>
            <w:tcW w:w="2869" w:type="dxa"/>
          </w:tcPr>
          <w:p w:rsidR="001843D9" w:rsidRDefault="001843D9" w:rsidP="00BB6343"/>
        </w:tc>
        <w:tc>
          <w:tcPr>
            <w:tcW w:w="1231" w:type="dxa"/>
          </w:tcPr>
          <w:p w:rsidR="001843D9" w:rsidRDefault="001843D9" w:rsidP="00BB6343"/>
        </w:tc>
      </w:tr>
    </w:tbl>
    <w:p w:rsidR="00E63617" w:rsidRDefault="00E63617"/>
    <w:sectPr w:rsidR="00E63617" w:rsidSect="00473E9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8A" w:rsidRDefault="0096718A" w:rsidP="00C817FB">
      <w:pPr>
        <w:spacing w:after="0" w:line="240" w:lineRule="auto"/>
      </w:pPr>
      <w:r>
        <w:separator/>
      </w:r>
    </w:p>
  </w:endnote>
  <w:endnote w:type="continuationSeparator" w:id="0">
    <w:p w:rsidR="0096718A" w:rsidRDefault="0096718A" w:rsidP="00C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8A" w:rsidRDefault="0096718A" w:rsidP="00C817FB">
      <w:pPr>
        <w:spacing w:after="0" w:line="240" w:lineRule="auto"/>
      </w:pPr>
      <w:r>
        <w:separator/>
      </w:r>
    </w:p>
  </w:footnote>
  <w:footnote w:type="continuationSeparator" w:id="0">
    <w:p w:rsidR="0096718A" w:rsidRDefault="0096718A" w:rsidP="00C8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FB" w:rsidRPr="00C817FB" w:rsidRDefault="00C817FB" w:rsidP="00C817FB">
    <w:pPr>
      <w:pStyle w:val="Header"/>
      <w:jc w:val="right"/>
      <w:rPr>
        <w:sz w:val="52"/>
      </w:rPr>
    </w:pPr>
    <w:r w:rsidRPr="00C817FB">
      <w:rPr>
        <w:b/>
        <w:noProof/>
        <w:sz w:val="56"/>
        <w:lang w:eastAsia="en-GB"/>
      </w:rPr>
      <w:drawing>
        <wp:anchor distT="0" distB="0" distL="114300" distR="114300" simplePos="0" relativeHeight="251659264" behindDoc="0" locked="0" layoutInCell="1" allowOverlap="1" wp14:anchorId="29677870" wp14:editId="0184197D">
          <wp:simplePos x="0" y="0"/>
          <wp:positionH relativeFrom="column">
            <wp:posOffset>-44450</wp:posOffset>
          </wp:positionH>
          <wp:positionV relativeFrom="paragraph">
            <wp:posOffset>-13335</wp:posOffset>
          </wp:positionV>
          <wp:extent cx="2200275" cy="1038225"/>
          <wp:effectExtent l="0" t="0" r="9525" b="9525"/>
          <wp:wrapSquare wrapText="left"/>
          <wp:docPr id="2" name="Picture 1"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14E551-61A8-4C28-8E35-7DDB9A860587@l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CF">
      <w:rPr>
        <w:sz w:val="52"/>
      </w:rPr>
      <w:t>Pupil Premium Statement 2017-2018</w:t>
    </w:r>
    <w:r w:rsidRPr="00C817FB">
      <w:rPr>
        <w:sz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CEA"/>
    <w:multiLevelType w:val="hybridMultilevel"/>
    <w:tmpl w:val="8520A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531C5"/>
    <w:multiLevelType w:val="hybridMultilevel"/>
    <w:tmpl w:val="E918D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46540"/>
    <w:multiLevelType w:val="hybridMultilevel"/>
    <w:tmpl w:val="3C700D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1204"/>
    <w:multiLevelType w:val="hybridMultilevel"/>
    <w:tmpl w:val="01E87560"/>
    <w:lvl w:ilvl="0" w:tplc="0809000F">
      <w:start w:val="1"/>
      <w:numFmt w:val="decimal"/>
      <w:lvlText w:val="%1."/>
      <w:lvlJc w:val="left"/>
      <w:pPr>
        <w:ind w:left="23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AEA53D6"/>
    <w:multiLevelType w:val="hybridMultilevel"/>
    <w:tmpl w:val="4AC6F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D38D1"/>
    <w:multiLevelType w:val="hybridMultilevel"/>
    <w:tmpl w:val="0B3EB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C217D"/>
    <w:multiLevelType w:val="hybridMultilevel"/>
    <w:tmpl w:val="C568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35003"/>
    <w:multiLevelType w:val="hybridMultilevel"/>
    <w:tmpl w:val="B6648E80"/>
    <w:lvl w:ilvl="0" w:tplc="08090015">
      <w:start w:val="1"/>
      <w:numFmt w:val="upp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7CC84F6F"/>
    <w:multiLevelType w:val="hybridMultilevel"/>
    <w:tmpl w:val="52FE57C6"/>
    <w:lvl w:ilvl="0" w:tplc="BCC2E5BE">
      <w:start w:val="1"/>
      <w:numFmt w:val="upperLetter"/>
      <w:lvlText w:val="%1."/>
      <w:lvlJc w:val="left"/>
      <w:pPr>
        <w:ind w:left="825" w:hanging="360"/>
      </w:pPr>
      <w:rPr>
        <w:rFonts w:asciiTheme="majorHAnsi" w:hAnsiTheme="majorHAnsi"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9" w15:restartNumberingAfterBreak="0">
    <w:nsid w:val="7E5A0A88"/>
    <w:multiLevelType w:val="hybridMultilevel"/>
    <w:tmpl w:val="802E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7"/>
  </w:num>
  <w:num w:numId="6">
    <w:abstractNumId w:val="2"/>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17"/>
    <w:rsid w:val="00021FF4"/>
    <w:rsid w:val="000300F6"/>
    <w:rsid w:val="000834B2"/>
    <w:rsid w:val="001124DC"/>
    <w:rsid w:val="001341EB"/>
    <w:rsid w:val="001368A1"/>
    <w:rsid w:val="00170450"/>
    <w:rsid w:val="001843D9"/>
    <w:rsid w:val="001B2D29"/>
    <w:rsid w:val="001D6DE9"/>
    <w:rsid w:val="0023265E"/>
    <w:rsid w:val="00277C58"/>
    <w:rsid w:val="00295964"/>
    <w:rsid w:val="002D1EA1"/>
    <w:rsid w:val="002E04D4"/>
    <w:rsid w:val="003147DE"/>
    <w:rsid w:val="00343367"/>
    <w:rsid w:val="003628E9"/>
    <w:rsid w:val="00371085"/>
    <w:rsid w:val="003917F8"/>
    <w:rsid w:val="003933D4"/>
    <w:rsid w:val="00397A5B"/>
    <w:rsid w:val="003A3D4A"/>
    <w:rsid w:val="003D425F"/>
    <w:rsid w:val="003E0FBE"/>
    <w:rsid w:val="003F01D8"/>
    <w:rsid w:val="003F5F38"/>
    <w:rsid w:val="004223C6"/>
    <w:rsid w:val="00473E95"/>
    <w:rsid w:val="00497C5C"/>
    <w:rsid w:val="004E1DF9"/>
    <w:rsid w:val="004F60BB"/>
    <w:rsid w:val="00581E8E"/>
    <w:rsid w:val="005C3E44"/>
    <w:rsid w:val="005D0C36"/>
    <w:rsid w:val="005E3A0F"/>
    <w:rsid w:val="00604317"/>
    <w:rsid w:val="006277AC"/>
    <w:rsid w:val="00683CEB"/>
    <w:rsid w:val="00696AAA"/>
    <w:rsid w:val="006A0E6E"/>
    <w:rsid w:val="006A4DD4"/>
    <w:rsid w:val="007412EC"/>
    <w:rsid w:val="007B1EB1"/>
    <w:rsid w:val="007E5161"/>
    <w:rsid w:val="0082552E"/>
    <w:rsid w:val="00846DC4"/>
    <w:rsid w:val="008900FA"/>
    <w:rsid w:val="008B27A2"/>
    <w:rsid w:val="009135B8"/>
    <w:rsid w:val="00946CEB"/>
    <w:rsid w:val="0095622D"/>
    <w:rsid w:val="0096718A"/>
    <w:rsid w:val="00967768"/>
    <w:rsid w:val="009742AB"/>
    <w:rsid w:val="009B19B4"/>
    <w:rsid w:val="009B4DEB"/>
    <w:rsid w:val="00A16588"/>
    <w:rsid w:val="00A362F6"/>
    <w:rsid w:val="00A759D1"/>
    <w:rsid w:val="00A93A60"/>
    <w:rsid w:val="00B167EB"/>
    <w:rsid w:val="00B310C0"/>
    <w:rsid w:val="00B53ECA"/>
    <w:rsid w:val="00B87471"/>
    <w:rsid w:val="00BA148D"/>
    <w:rsid w:val="00BA4EE1"/>
    <w:rsid w:val="00BC4980"/>
    <w:rsid w:val="00C23248"/>
    <w:rsid w:val="00C817FB"/>
    <w:rsid w:val="00C86D91"/>
    <w:rsid w:val="00CC080A"/>
    <w:rsid w:val="00CC40F2"/>
    <w:rsid w:val="00CD5734"/>
    <w:rsid w:val="00D17C47"/>
    <w:rsid w:val="00D578F4"/>
    <w:rsid w:val="00D604C0"/>
    <w:rsid w:val="00D72DF0"/>
    <w:rsid w:val="00DB4EB8"/>
    <w:rsid w:val="00DE322A"/>
    <w:rsid w:val="00DF484E"/>
    <w:rsid w:val="00E13D12"/>
    <w:rsid w:val="00E211C8"/>
    <w:rsid w:val="00E26FCC"/>
    <w:rsid w:val="00E2734C"/>
    <w:rsid w:val="00E43B99"/>
    <w:rsid w:val="00E63617"/>
    <w:rsid w:val="00E73000"/>
    <w:rsid w:val="00F00CA4"/>
    <w:rsid w:val="00F433BB"/>
    <w:rsid w:val="00F44763"/>
    <w:rsid w:val="00FA2878"/>
    <w:rsid w:val="00FB01CB"/>
    <w:rsid w:val="00FC13CF"/>
    <w:rsid w:val="00FD4312"/>
    <w:rsid w:val="00FD5695"/>
    <w:rsid w:val="00FF1C8B"/>
    <w:rsid w:val="00FF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78368-6DF7-473D-8B8C-A0A1DC3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E9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E95"/>
    <w:pPr>
      <w:ind w:left="720"/>
      <w:contextualSpacing/>
    </w:pPr>
  </w:style>
  <w:style w:type="table" w:customStyle="1" w:styleId="TableGrid2">
    <w:name w:val="Table Grid2"/>
    <w:basedOn w:val="TableNormal"/>
    <w:next w:val="TableGrid"/>
    <w:uiPriority w:val="59"/>
    <w:rsid w:val="00A1658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FB"/>
  </w:style>
  <w:style w:type="paragraph" w:styleId="Footer">
    <w:name w:val="footer"/>
    <w:basedOn w:val="Normal"/>
    <w:link w:val="FooterChar"/>
    <w:uiPriority w:val="99"/>
    <w:unhideWhenUsed/>
    <w:rsid w:val="00C8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FB"/>
  </w:style>
  <w:style w:type="paragraph" w:styleId="BalloonText">
    <w:name w:val="Balloon Text"/>
    <w:basedOn w:val="Normal"/>
    <w:link w:val="BalloonTextChar"/>
    <w:uiPriority w:val="99"/>
    <w:semiHidden/>
    <w:unhideWhenUsed/>
    <w:rsid w:val="00E1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0614E551-61A8-4C28-8E35-7DDB9A860587@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13</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Amraz Ali</dc:creator>
  <cp:lastModifiedBy>Stuart Mills</cp:lastModifiedBy>
  <cp:revision>9</cp:revision>
  <cp:lastPrinted>2017-10-04T08:29:00Z</cp:lastPrinted>
  <dcterms:created xsi:type="dcterms:W3CDTF">2018-09-05T10:52:00Z</dcterms:created>
  <dcterms:modified xsi:type="dcterms:W3CDTF">2018-09-10T12:53:00Z</dcterms:modified>
</cp:coreProperties>
</file>